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A" w:rsidRDefault="00E4263A" w:rsidP="00F46BBC">
      <w:bookmarkStart w:id="0" w:name="_GoBack"/>
      <w:bookmarkEnd w:id="0"/>
    </w:p>
    <w:p w:rsidR="00E34121" w:rsidRPr="00732A42" w:rsidRDefault="00E51BBB" w:rsidP="00E34121">
      <w:pPr>
        <w:pStyle w:val="Otsikko"/>
        <w:rPr>
          <w:sz w:val="26"/>
          <w:szCs w:val="26"/>
        </w:rPr>
      </w:pPr>
      <w:r w:rsidRPr="00732A42">
        <w:rPr>
          <w:sz w:val="26"/>
          <w:szCs w:val="26"/>
        </w:rPr>
        <w:t>Eläketurvakeskuksen suh</w:t>
      </w:r>
      <w:r w:rsidR="00374715">
        <w:rPr>
          <w:sz w:val="26"/>
          <w:szCs w:val="26"/>
        </w:rPr>
        <w:t>danne-ennusteen ennustevirhei</w:t>
      </w:r>
      <w:r w:rsidR="00BE7D91">
        <w:rPr>
          <w:sz w:val="26"/>
          <w:szCs w:val="26"/>
        </w:rPr>
        <w:t>den tarkaste</w:t>
      </w:r>
      <w:r w:rsidR="00374715">
        <w:rPr>
          <w:sz w:val="26"/>
          <w:szCs w:val="26"/>
        </w:rPr>
        <w:t>lua</w:t>
      </w:r>
    </w:p>
    <w:p w:rsidR="00E34121" w:rsidRDefault="00E34121" w:rsidP="00E34121">
      <w:pPr>
        <w:pStyle w:val="Leipteksti"/>
      </w:pPr>
    </w:p>
    <w:p w:rsidR="000A0000" w:rsidRDefault="00E34121" w:rsidP="000A0000">
      <w:pPr>
        <w:pStyle w:val="Leipteksti"/>
      </w:pPr>
      <w:r>
        <w:t>Muistiossa tark</w:t>
      </w:r>
      <w:r w:rsidR="00E51BBB">
        <w:t>a</w:t>
      </w:r>
      <w:r>
        <w:t>stellaa</w:t>
      </w:r>
      <w:r w:rsidR="00241D89">
        <w:t>n Eläketurvakeskuksen</w:t>
      </w:r>
      <w:r w:rsidR="000A0000">
        <w:t xml:space="preserve"> </w:t>
      </w:r>
      <w:r w:rsidR="00241D89">
        <w:t xml:space="preserve">lyhyen aikavälin </w:t>
      </w:r>
      <w:r w:rsidR="00B25270">
        <w:t>suhdanne-ennusteen eli niin sanotun</w:t>
      </w:r>
      <w:r w:rsidR="000A0000">
        <w:t xml:space="preserve"> KT-ennusteen ennustevirheitä aineistolla, johon on koottu vanhoja ennusteita syksystä 1998 alkaen. </w:t>
      </w:r>
      <w:r w:rsidR="00241D89">
        <w:t>Tarkoituksena on selvittää</w:t>
      </w:r>
      <w:r w:rsidR="00511F16">
        <w:t xml:space="preserve">, kuinka hyvin ennusteet ovat keskimäärin </w:t>
      </w:r>
      <w:r w:rsidR="00E725FB">
        <w:t>vastanneet toteutuneita arvoja. Hist</w:t>
      </w:r>
      <w:r w:rsidR="00E725FB">
        <w:t>o</w:t>
      </w:r>
      <w:r w:rsidR="00E725FB">
        <w:t>riallisen tarkastelun lisäksi tavoitteena on</w:t>
      </w:r>
      <w:r w:rsidR="00241D89">
        <w:t xml:space="preserve"> ollut luoda malli sille</w:t>
      </w:r>
      <w:r w:rsidR="00E725FB">
        <w:t>, miten ennu</w:t>
      </w:r>
      <w:r w:rsidR="00E725FB">
        <w:t>s</w:t>
      </w:r>
      <w:r w:rsidR="00E725FB">
        <w:t>teiden osuvuutta voi</w:t>
      </w:r>
      <w:r w:rsidR="00241D89">
        <w:t>daan jatkossa seurata</w:t>
      </w:r>
      <w:r w:rsidR="00E725FB">
        <w:t xml:space="preserve"> samaa aineisto</w:t>
      </w:r>
      <w:r w:rsidR="00994800">
        <w:t>a</w:t>
      </w:r>
      <w:r w:rsidR="00E725FB">
        <w:t xml:space="preserve"> päivittämällä.</w:t>
      </w:r>
    </w:p>
    <w:p w:rsidR="000A0000" w:rsidRDefault="000A0000" w:rsidP="000A0000">
      <w:pPr>
        <w:pStyle w:val="Leipteksti"/>
      </w:pPr>
    </w:p>
    <w:p w:rsidR="00511F16" w:rsidRDefault="00511F16" w:rsidP="000A0000">
      <w:pPr>
        <w:pStyle w:val="Leipteksti"/>
      </w:pPr>
      <w:r>
        <w:t>Tarkasteltaviksi</w:t>
      </w:r>
      <w:r w:rsidR="00E34121">
        <w:t xml:space="preserve"> muuttu</w:t>
      </w:r>
      <w:r>
        <w:t xml:space="preserve">jiksi on valittu </w:t>
      </w:r>
      <w:r w:rsidR="00E34121">
        <w:t>kuluttajahintaindeksi</w:t>
      </w:r>
      <w:r w:rsidR="0011174F">
        <w:t>n</w:t>
      </w:r>
      <w:r w:rsidR="00E34121">
        <w:t>, ansiotas</w:t>
      </w:r>
      <w:r w:rsidR="0011174F">
        <w:t>oinde</w:t>
      </w:r>
      <w:r w:rsidR="0011174F">
        <w:t>k</w:t>
      </w:r>
      <w:r w:rsidR="0011174F">
        <w:t>sin, TyEL/TEL-</w:t>
      </w:r>
      <w:r w:rsidR="00E34121">
        <w:t>palkkasumma</w:t>
      </w:r>
      <w:r w:rsidR="0011174F">
        <w:t>n</w:t>
      </w:r>
      <w:r w:rsidR="00241D89">
        <w:t xml:space="preserve"> sekä</w:t>
      </w:r>
      <w:r w:rsidR="00E34121">
        <w:t xml:space="preserve"> br</w:t>
      </w:r>
      <w:r w:rsidR="0011174F">
        <w:t>uttokansantuotteen volyymin</w:t>
      </w:r>
      <w:r w:rsidR="00B25270">
        <w:t xml:space="preserve"> prosent</w:t>
      </w:r>
      <w:r w:rsidR="00B25270">
        <w:t>u</w:t>
      </w:r>
      <w:r w:rsidR="00B25270">
        <w:t>aaliset</w:t>
      </w:r>
      <w:r w:rsidR="0011174F">
        <w:t xml:space="preserve"> vuosimuutok</w:t>
      </w:r>
      <w:r w:rsidR="00241D89">
        <w:t>set ja</w:t>
      </w:r>
      <w:r w:rsidR="0011174F">
        <w:t xml:space="preserve"> työttömyysaste</w:t>
      </w:r>
      <w:r w:rsidR="0083170D">
        <w:rPr>
          <w:rStyle w:val="Alaviitteenviite"/>
        </w:rPr>
        <w:footnoteReference w:id="1"/>
      </w:r>
      <w:r w:rsidR="00B24763">
        <w:t>.</w:t>
      </w:r>
    </w:p>
    <w:p w:rsidR="00455F2C" w:rsidRDefault="00455F2C" w:rsidP="000A0000">
      <w:pPr>
        <w:pStyle w:val="Leipteksti"/>
      </w:pPr>
    </w:p>
    <w:p w:rsidR="00511F16" w:rsidRDefault="00511F16" w:rsidP="00511F16">
      <w:pPr>
        <w:pStyle w:val="Otsikko3"/>
      </w:pPr>
      <w:r>
        <w:t>Mittarit</w:t>
      </w:r>
    </w:p>
    <w:p w:rsidR="00511F16" w:rsidRDefault="00511F16" w:rsidP="00511F16">
      <w:pPr>
        <w:pStyle w:val="Leipteksti"/>
      </w:pPr>
      <w:r>
        <w:t>Analyysissä keskitytään harhattomuuteen ja tarkkuuteen. Harhattomuutta m</w:t>
      </w:r>
      <w:r>
        <w:t>i</w:t>
      </w:r>
      <w:r>
        <w:t>tataa</w:t>
      </w:r>
      <w:r w:rsidR="000A0000">
        <w:t xml:space="preserve">n ennustevirheiden keskiarvolla ja tarkkuutta </w:t>
      </w:r>
      <w:r>
        <w:t>ennustevirheiden itseisarv</w:t>
      </w:r>
      <w:r>
        <w:t>o</w:t>
      </w:r>
      <w:r>
        <w:t>jen keskiarvolla. Lisäksi tarkastellaan suurimpia yksittäisiä ennustevirheitä.</w:t>
      </w:r>
    </w:p>
    <w:p w:rsidR="002C4829" w:rsidRDefault="002C4829" w:rsidP="00511F16">
      <w:pPr>
        <w:pStyle w:val="Leipteksti"/>
      </w:pPr>
    </w:p>
    <w:p w:rsidR="000A0000" w:rsidRDefault="002A4399" w:rsidP="000A0000">
      <w:pPr>
        <w:pStyle w:val="Leipteksti"/>
      </w:pPr>
      <w:r>
        <w:t xml:space="preserve">Ajankohtaan </w:t>
      </w:r>
      <w:r w:rsidRPr="002A4399">
        <w:rPr>
          <w:i/>
        </w:rPr>
        <w:t>t</w:t>
      </w:r>
      <w:r>
        <w:t xml:space="preserve"> liittyvä ennustevirhe </w:t>
      </w:r>
      <w:r w:rsidRPr="002A4399">
        <w:rPr>
          <w:i/>
        </w:rPr>
        <w:t>e</w:t>
      </w:r>
      <w:r w:rsidRPr="002A4399">
        <w:rPr>
          <w:i/>
          <w:vertAlign w:val="subscript"/>
        </w:rPr>
        <w:t>t</w:t>
      </w:r>
      <w:r>
        <w:t xml:space="preserve"> s</w:t>
      </w:r>
      <w:r w:rsidR="007450DA">
        <w:t xml:space="preserve">aadaan samaa </w:t>
      </w:r>
      <w:r>
        <w:t>ajankohtaa koskevan t</w:t>
      </w:r>
      <w:r>
        <w:t>o</w:t>
      </w:r>
      <w:r>
        <w:t xml:space="preserve">teutuneen tiedon </w:t>
      </w:r>
      <w:r>
        <w:rPr>
          <w:i/>
        </w:rPr>
        <w:t>y</w:t>
      </w:r>
      <w:r w:rsidRPr="002A4399">
        <w:rPr>
          <w:i/>
          <w:vertAlign w:val="subscript"/>
        </w:rPr>
        <w:t>t</w:t>
      </w:r>
      <w:r>
        <w:t xml:space="preserve"> ja ennusteen </w:t>
      </w:r>
      <w:r>
        <w:rPr>
          <w:i/>
        </w:rPr>
        <w:t>ŷ</w:t>
      </w:r>
      <w:r w:rsidRPr="002A4399">
        <w:rPr>
          <w:i/>
          <w:vertAlign w:val="subscript"/>
        </w:rPr>
        <w:t>t</w:t>
      </w:r>
      <w:r w:rsidR="000A0000">
        <w:t xml:space="preserve"> erotuksena:</w:t>
      </w:r>
    </w:p>
    <w:p w:rsidR="00511F16" w:rsidRDefault="00511F16" w:rsidP="000A0000">
      <w:pPr>
        <w:pStyle w:val="Leipteksti"/>
        <w:spacing w:line="36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0"/>
        <w:gridCol w:w="8813"/>
      </w:tblGrid>
      <w:tr w:rsidR="002C4829" w:rsidRPr="002C4829" w:rsidTr="002C4829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C4829" w:rsidRPr="002C4829" w:rsidRDefault="002C4829" w:rsidP="000A0000">
            <w:pPr>
              <w:spacing w:line="360" w:lineRule="auto"/>
            </w:pPr>
            <w:r w:rsidRPr="002C4829">
              <w:t>(1)</w:t>
            </w:r>
          </w:p>
        </w:tc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</w:tcPr>
          <w:p w:rsidR="002C4829" w:rsidRPr="002C4829" w:rsidRDefault="00370EA7" w:rsidP="000A0000">
            <w:pPr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</w:tbl>
    <w:p w:rsidR="000A0000" w:rsidRDefault="000A0000" w:rsidP="000A0000">
      <w:pPr>
        <w:pStyle w:val="Leipteksti"/>
        <w:spacing w:line="360" w:lineRule="auto"/>
        <w:ind w:left="0"/>
      </w:pPr>
    </w:p>
    <w:p w:rsidR="002C4829" w:rsidRDefault="007450DA" w:rsidP="000A0000">
      <w:pPr>
        <w:pStyle w:val="Leipteksti"/>
      </w:pPr>
      <w:r>
        <w:t>Vastaavasti keskimääräiset ennustevirheet saadaan kaavasta</w:t>
      </w:r>
    </w:p>
    <w:p w:rsidR="000A0000" w:rsidRDefault="000A0000" w:rsidP="000A0000">
      <w:pPr>
        <w:pStyle w:val="Leipteksti"/>
        <w:spacing w:line="36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0"/>
        <w:gridCol w:w="8813"/>
      </w:tblGrid>
      <w:tr w:rsidR="002C4829" w:rsidRPr="002C4829" w:rsidTr="002C4829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C4829" w:rsidRPr="002C4829" w:rsidRDefault="002C4829" w:rsidP="000A0000">
            <w:pPr>
              <w:spacing w:line="360" w:lineRule="auto"/>
            </w:pPr>
            <w:r>
              <w:t>(2</w:t>
            </w:r>
            <w:r w:rsidRPr="002C4829">
              <w:t>)</w:t>
            </w:r>
          </w:p>
        </w:tc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</w:tcPr>
          <w:p w:rsidR="002C4829" w:rsidRPr="002C4829" w:rsidRDefault="000879BF" w:rsidP="000A0000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ME=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</w:tbl>
    <w:p w:rsidR="000A0000" w:rsidRDefault="000A0000" w:rsidP="000A0000">
      <w:pPr>
        <w:pStyle w:val="Leipteksti"/>
        <w:spacing w:line="360" w:lineRule="auto"/>
        <w:ind w:left="0"/>
      </w:pPr>
    </w:p>
    <w:p w:rsidR="00452FE7" w:rsidRDefault="007450DA" w:rsidP="00452FE7">
      <w:pPr>
        <w:pStyle w:val="Leipteksti"/>
      </w:pPr>
      <w:r>
        <w:t>m</w:t>
      </w:r>
      <w:r w:rsidR="000879BF">
        <w:t xml:space="preserve">issä </w:t>
      </w:r>
      <w:r w:rsidR="000879BF" w:rsidRPr="000879BF">
        <w:rPr>
          <w:i/>
        </w:rPr>
        <w:t>n</w:t>
      </w:r>
      <w:r w:rsidR="000879BF">
        <w:t xml:space="preserve"> on ennusteiden lukumäärä. </w:t>
      </w:r>
      <w:r w:rsidR="00452FE7">
        <w:t>Harhaton ennuste on keskimäärin oikea, eikä se poikkea todellisesta arvosta syste</w:t>
      </w:r>
      <w:r w:rsidR="000A0000">
        <w:t>maattisesti ylös- eikä alaspäin. Silloin ennustevirheiden keskiarvon</w:t>
      </w:r>
      <w:r w:rsidR="003D5EC2">
        <w:t xml:space="preserve"> pitäisi olla lähellä nollaa. Nollaa suuremmat a</w:t>
      </w:r>
      <w:r w:rsidR="003D5EC2">
        <w:t>r</w:t>
      </w:r>
      <w:r w:rsidR="003D5EC2">
        <w:t>vot</w:t>
      </w:r>
      <w:r w:rsidR="000879BF">
        <w:t xml:space="preserve"> kertovat ennusteen ali</w:t>
      </w:r>
      <w:r w:rsidR="00241D89">
        <w:t xml:space="preserve">arvioineen </w:t>
      </w:r>
      <w:r w:rsidR="003D5EC2">
        <w:t>ja nollaa pienemmät taas ennus</w:t>
      </w:r>
      <w:r w:rsidR="000879BF">
        <w:t xml:space="preserve">teen </w:t>
      </w:r>
      <w:r w:rsidR="003D5EC2">
        <w:t>ylia</w:t>
      </w:r>
      <w:r w:rsidR="003D5EC2">
        <w:t>r</w:t>
      </w:r>
      <w:r w:rsidR="003D5EC2">
        <w:t>vioi</w:t>
      </w:r>
      <w:r w:rsidR="00241D89">
        <w:t>neen toteutunutta kehitystä</w:t>
      </w:r>
      <w:r w:rsidR="000879BF">
        <w:t>.</w:t>
      </w:r>
    </w:p>
    <w:p w:rsidR="007450DA" w:rsidRDefault="007450DA" w:rsidP="000879BF">
      <w:pPr>
        <w:pStyle w:val="Leipteksti"/>
        <w:ind w:left="0"/>
      </w:pPr>
    </w:p>
    <w:p w:rsidR="007450DA" w:rsidRDefault="000879BF" w:rsidP="007450DA">
      <w:pPr>
        <w:pStyle w:val="Leipteksti"/>
      </w:pPr>
      <w:r>
        <w:lastRenderedPageBreak/>
        <w:t>Tarkkuu</w:t>
      </w:r>
      <w:r w:rsidR="00EF712C">
        <w:t>den mittarina toimiva</w:t>
      </w:r>
      <w:r>
        <w:t xml:space="preserve"> e</w:t>
      </w:r>
      <w:r w:rsidR="00EF712C">
        <w:t>nnustevirheiden itseisarvojen keskiarvo</w:t>
      </w:r>
      <w:r w:rsidR="007450DA">
        <w:t xml:space="preserve"> sa</w:t>
      </w:r>
      <w:r w:rsidR="007450DA">
        <w:t>a</w:t>
      </w:r>
      <w:r w:rsidR="007450DA">
        <w:t>daan vastaavasta kaavasta</w:t>
      </w:r>
    </w:p>
    <w:p w:rsidR="005F7880" w:rsidRDefault="005F7880" w:rsidP="005F7880">
      <w:pPr>
        <w:pStyle w:val="Leipteksti"/>
        <w:ind w:left="0"/>
      </w:pPr>
    </w:p>
    <w:p w:rsidR="005F7880" w:rsidRDefault="005F7880" w:rsidP="005F7880">
      <w:pPr>
        <w:pStyle w:val="Leip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0"/>
        <w:gridCol w:w="8813"/>
      </w:tblGrid>
      <w:tr w:rsidR="005F7880" w:rsidRPr="002C4829" w:rsidTr="001827BC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F7880" w:rsidRPr="002C4829" w:rsidRDefault="005F7880" w:rsidP="001827BC">
            <w:r>
              <w:t>(3</w:t>
            </w:r>
            <w:r w:rsidRPr="002C4829">
              <w:t>)</w:t>
            </w:r>
          </w:p>
        </w:tc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</w:tcPr>
          <w:p w:rsidR="005F7880" w:rsidRPr="002C4829" w:rsidRDefault="000879BF" w:rsidP="000A0000">
            <m:oMathPara>
              <m:oMath>
                <m:r>
                  <w:rPr>
                    <w:rFonts w:ascii="Cambria Math" w:hAnsi="Cambria Math"/>
                  </w:rPr>
                  <m:t xml:space="preserve">MAE=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</m:e>
                </m:nary>
              </m:oMath>
            </m:oMathPara>
          </w:p>
        </w:tc>
      </w:tr>
    </w:tbl>
    <w:p w:rsidR="005F7880" w:rsidRDefault="005F7880" w:rsidP="005F7880"/>
    <w:p w:rsidR="003D5EC2" w:rsidRDefault="003D5EC2" w:rsidP="00452FE7">
      <w:pPr>
        <w:pStyle w:val="Leipteksti"/>
      </w:pPr>
    </w:p>
    <w:p w:rsidR="005F7880" w:rsidRDefault="003D5EC2" w:rsidP="00452FE7">
      <w:pPr>
        <w:pStyle w:val="Leipteksti"/>
      </w:pPr>
      <w:r>
        <w:t xml:space="preserve">Tarkat ennusteet ovat lähellä </w:t>
      </w:r>
      <w:r w:rsidR="00EF712C">
        <w:t xml:space="preserve">ennustettavan muuttujan </w:t>
      </w:r>
      <w:r w:rsidR="00D84AEB">
        <w:t>toteutuneita</w:t>
      </w:r>
      <w:r>
        <w:t xml:space="preserve"> arvo</w:t>
      </w:r>
      <w:r w:rsidR="00D84AEB">
        <w:t>j</w:t>
      </w:r>
      <w:r>
        <w:t xml:space="preserve">a. Harhaton ennuste voi olla </w:t>
      </w:r>
      <w:r w:rsidR="00721129">
        <w:t xml:space="preserve">periaatteessa </w:t>
      </w:r>
      <w:r>
        <w:t xml:space="preserve">miten tahansa epätarkka, joten </w:t>
      </w:r>
      <w:r w:rsidR="000879BF">
        <w:t>ennu</w:t>
      </w:r>
      <w:r w:rsidR="000879BF">
        <w:t>s</w:t>
      </w:r>
      <w:r w:rsidR="000879BF">
        <w:t xml:space="preserve">tamisen </w:t>
      </w:r>
      <w:r>
        <w:t>tavoitteena tulisi olla sekä harhattomuus että tarkkuus.</w:t>
      </w:r>
    </w:p>
    <w:p w:rsidR="00455F2C" w:rsidRDefault="00455F2C" w:rsidP="00452FE7">
      <w:pPr>
        <w:pStyle w:val="Leipteksti"/>
      </w:pPr>
    </w:p>
    <w:p w:rsidR="00721129" w:rsidRDefault="00990118" w:rsidP="00721129">
      <w:pPr>
        <w:pStyle w:val="Otsikko2"/>
      </w:pPr>
      <w:r>
        <w:t>Vertailutietojen valinta</w:t>
      </w:r>
    </w:p>
    <w:p w:rsidR="001C1170" w:rsidRDefault="00721129" w:rsidP="00721129">
      <w:pPr>
        <w:pStyle w:val="Leipteksti"/>
      </w:pPr>
      <w:r>
        <w:t xml:space="preserve">Tarkastelussa tarvittavien mittarien laskeminen edellyttää sopivan toteutunutta kehitystä kuvaavan vertailutiedon valitsemista. </w:t>
      </w:r>
      <w:r w:rsidR="0011174F">
        <w:t>TyEL/TEL-palkkasummaa l</w:t>
      </w:r>
      <w:r w:rsidR="0011174F">
        <w:t>u</w:t>
      </w:r>
      <w:r w:rsidR="0011174F">
        <w:t>kuun ottamatta käytetään k</w:t>
      </w:r>
      <w:r w:rsidR="001C1170">
        <w:t>aikkien muuttujien osalta ennustevirheen laske</w:t>
      </w:r>
      <w:r w:rsidR="001C1170">
        <w:t>n</w:t>
      </w:r>
      <w:r w:rsidR="001C1170">
        <w:t>nas</w:t>
      </w:r>
      <w:r w:rsidR="0011174F">
        <w:t xml:space="preserve">sa </w:t>
      </w:r>
      <w:r w:rsidR="001C1170">
        <w:t>todellisen toteutuneen tiedon lähtökohtana Tilastokeskuksen julkistamaa tilastoa.</w:t>
      </w:r>
    </w:p>
    <w:p w:rsidR="001C1170" w:rsidRDefault="001C1170" w:rsidP="00E34121">
      <w:pPr>
        <w:pStyle w:val="Leipteksti"/>
      </w:pPr>
    </w:p>
    <w:p w:rsidR="00E34121" w:rsidRDefault="001C1170" w:rsidP="00E34121">
      <w:pPr>
        <w:pStyle w:val="Leipteksti"/>
      </w:pPr>
      <w:r>
        <w:t>Työttömyysastetta ja kuluttajahintoja koskevat tilastot ovat heti julkaisuhetke</w:t>
      </w:r>
      <w:r>
        <w:t>l</w:t>
      </w:r>
      <w:r>
        <w:t>lä</w:t>
      </w:r>
      <w:r w:rsidR="00EF712C">
        <w:t>än</w:t>
      </w:r>
      <w:r>
        <w:t xml:space="preserve"> lopullisia. Todellinen vuosimuutos saadaan siis laskettua heti joulukuun tilaston julkistuksen y</w:t>
      </w:r>
      <w:r w:rsidR="0011174F">
        <w:t>hteydessä eli tammikuun loppupuolella.</w:t>
      </w:r>
    </w:p>
    <w:p w:rsidR="00532302" w:rsidRDefault="00532302" w:rsidP="00E34121">
      <w:pPr>
        <w:pStyle w:val="Leipteksti"/>
      </w:pPr>
    </w:p>
    <w:p w:rsidR="00532302" w:rsidRDefault="00532302" w:rsidP="00532302">
      <w:pPr>
        <w:pStyle w:val="Leipteksti"/>
      </w:pPr>
      <w:r>
        <w:t>Ansiotasoindeksin osalta käytetään ansiotasoindeksin lopullista tietoa, joka saadaan tilastovuotta seuraavan vuoden syksyllä. Poikkeuksena on vielä tässä vaiheessa vuosi 2012, jonka osalta käytetään 30.5.2013 julkistettuja tietoja.</w:t>
      </w:r>
    </w:p>
    <w:p w:rsidR="00532302" w:rsidRDefault="00532302" w:rsidP="00532302">
      <w:pPr>
        <w:pStyle w:val="Leipteksti"/>
      </w:pPr>
    </w:p>
    <w:p w:rsidR="003F49AC" w:rsidRDefault="0011174F" w:rsidP="003F49AC">
      <w:pPr>
        <w:pStyle w:val="Leipteksti"/>
      </w:pPr>
      <w:r>
        <w:t>B</w:t>
      </w:r>
      <w:r w:rsidR="001C1170">
        <w:t xml:space="preserve">ruttokansantuotteen </w:t>
      </w:r>
      <w:r w:rsidR="00EF712C">
        <w:t xml:space="preserve">ennusteen </w:t>
      </w:r>
      <w:r w:rsidR="001C1170">
        <w:t>osalta lähteenä käytetään kansantalouden t</w:t>
      </w:r>
      <w:r w:rsidR="001C1170">
        <w:t>i</w:t>
      </w:r>
      <w:r w:rsidR="001C1170">
        <w:t xml:space="preserve">linpidon </w:t>
      </w:r>
      <w:r w:rsidR="00C75493">
        <w:t xml:space="preserve">vuositason </w:t>
      </w:r>
      <w:r w:rsidR="001C1170">
        <w:t>tietoja.</w:t>
      </w:r>
      <w:r w:rsidR="00C75493">
        <w:t xml:space="preserve"> </w:t>
      </w:r>
      <w:r w:rsidR="00EF712C">
        <w:t>Niiden suhteen</w:t>
      </w:r>
      <w:r w:rsidR="00532302">
        <w:t xml:space="preserve"> on ku</w:t>
      </w:r>
      <w:r w:rsidR="003F49AC">
        <w:t xml:space="preserve">itenkin </w:t>
      </w:r>
      <w:r w:rsidR="00532302">
        <w:t xml:space="preserve">epäselvää, mikä tieto olisi järkevintä valita </w:t>
      </w:r>
      <w:r w:rsidR="003F49AC">
        <w:t xml:space="preserve">ennusteen </w:t>
      </w:r>
      <w:r w:rsidR="00532302">
        <w:t xml:space="preserve">vertailukohdaksi. </w:t>
      </w:r>
      <w:r w:rsidR="003F49AC">
        <w:t xml:space="preserve">Tilinpidon </w:t>
      </w:r>
      <w:r w:rsidR="00F60A10">
        <w:t xml:space="preserve">lähdeaineistojen kertyminen on vaiheittaista ja tästä johtuen </w:t>
      </w:r>
      <w:r w:rsidR="003F49AC">
        <w:t>julkistuskäytännöt ovat monimu</w:t>
      </w:r>
      <w:r w:rsidR="003F49AC">
        <w:t>t</w:t>
      </w:r>
      <w:r w:rsidR="003F49AC">
        <w:t>kai</w:t>
      </w:r>
      <w:r w:rsidR="00F60A10">
        <w:t>sia. Ei</w:t>
      </w:r>
      <w:r w:rsidR="00BC2E53">
        <w:t xml:space="preserve"> ole olemassa yhtä </w:t>
      </w:r>
      <w:r w:rsidR="003F49AC">
        <w:t>ajankohtaa, jolloin BKT-tiedon voitaisiin sanoa ilmestyvä</w:t>
      </w:r>
      <w:r w:rsidR="00F60A10">
        <w:t>n</w:t>
      </w:r>
      <w:r w:rsidR="003F49AC">
        <w:t>.</w:t>
      </w:r>
    </w:p>
    <w:p w:rsidR="003F49AC" w:rsidRDefault="003F49AC" w:rsidP="003F49AC">
      <w:pPr>
        <w:pStyle w:val="Leipteksti"/>
      </w:pPr>
    </w:p>
    <w:p w:rsidR="003F49AC" w:rsidRDefault="00532302" w:rsidP="003F49AC">
      <w:pPr>
        <w:pStyle w:val="Leipteksti"/>
      </w:pPr>
      <w:r>
        <w:t xml:space="preserve">Luontevia vaihtoehtoja </w:t>
      </w:r>
      <w:r w:rsidR="00F60A10">
        <w:t xml:space="preserve">vertailuajankohdan valinnaksi </w:t>
      </w:r>
      <w:r>
        <w:t>olisi ainakin kolme</w:t>
      </w:r>
      <w:r w:rsidR="003F49AC">
        <w:t>:</w:t>
      </w:r>
    </w:p>
    <w:p w:rsidR="003F49AC" w:rsidRDefault="003F49AC" w:rsidP="003F49AC">
      <w:pPr>
        <w:pStyle w:val="Leipteksti"/>
        <w:numPr>
          <w:ilvl w:val="0"/>
          <w:numId w:val="47"/>
        </w:numPr>
      </w:pPr>
      <w:r>
        <w:t>v</w:t>
      </w:r>
      <w:r w:rsidR="00C75493">
        <w:t>uositilinpidon ensimmäinen tietosisällöltään suppeampi en</w:t>
      </w:r>
      <w:r w:rsidR="00532302">
        <w:t>nakkojulkistus</w:t>
      </w:r>
      <w:r>
        <w:t>, joka</w:t>
      </w:r>
      <w:r w:rsidR="00532302">
        <w:t xml:space="preserve"> ilmestyy</w:t>
      </w:r>
      <w:r>
        <w:t xml:space="preserve"> tilastovuotta seuraavan vuoden maaliskuun alussa</w:t>
      </w:r>
    </w:p>
    <w:p w:rsidR="003F49AC" w:rsidRDefault="00532302" w:rsidP="003F49AC">
      <w:pPr>
        <w:pStyle w:val="Leipteksti"/>
        <w:numPr>
          <w:ilvl w:val="0"/>
          <w:numId w:val="47"/>
        </w:numPr>
      </w:pPr>
      <w:r>
        <w:t xml:space="preserve"> </w:t>
      </w:r>
      <w:r w:rsidR="003F49AC">
        <w:t>e</w:t>
      </w:r>
      <w:r w:rsidR="00C75493">
        <w:t>nsimmä</w:t>
      </w:r>
      <w:r w:rsidR="00EF712C">
        <w:t>inen</w:t>
      </w:r>
      <w:r w:rsidR="003F49AC">
        <w:t xml:space="preserve"> sisällöltään täysimittainen julkistus</w:t>
      </w:r>
      <w:r w:rsidR="00C75493">
        <w:t>, joka ilmestyy tilast</w:t>
      </w:r>
      <w:r w:rsidR="00C75493">
        <w:t>o</w:t>
      </w:r>
      <w:r w:rsidR="00C75493">
        <w:t>vuot</w:t>
      </w:r>
      <w:r w:rsidR="003F49AC">
        <w:t>ta seuraavan vuoden heinäkuun puolivälissä</w:t>
      </w:r>
      <w:r w:rsidR="00C75493">
        <w:t xml:space="preserve">. </w:t>
      </w:r>
    </w:p>
    <w:p w:rsidR="003F49AC" w:rsidRDefault="003F49AC" w:rsidP="003F49AC">
      <w:pPr>
        <w:pStyle w:val="Leipteksti"/>
        <w:numPr>
          <w:ilvl w:val="0"/>
          <w:numId w:val="47"/>
        </w:numPr>
      </w:pPr>
      <w:r>
        <w:t>tilinpidon viides ja ”lopullinen” julkistus, joka tulee noin kaksi vuotta tila</w:t>
      </w:r>
      <w:r>
        <w:t>s</w:t>
      </w:r>
      <w:r>
        <w:t>tovuoden päättymisen jälkeen</w:t>
      </w:r>
      <w:r w:rsidR="00CD5263">
        <w:t>.</w:t>
      </w:r>
    </w:p>
    <w:p w:rsidR="00F60A10" w:rsidRDefault="00F60A10" w:rsidP="00F60A10">
      <w:pPr>
        <w:pStyle w:val="Leipteksti"/>
      </w:pPr>
    </w:p>
    <w:p w:rsidR="00F60A10" w:rsidRDefault="00F60A10" w:rsidP="00F60A10">
      <w:pPr>
        <w:pStyle w:val="Leipteksti"/>
      </w:pPr>
      <w:r>
        <w:t>Muitakin vaihtoehtoja olisi. Tässä yhteydes</w:t>
      </w:r>
      <w:r w:rsidR="0009058A">
        <w:t>sä on valittu</w:t>
      </w:r>
      <w:r w:rsidR="004D1E63">
        <w:t xml:space="preserve"> ensisijaiseksi vertail</w:t>
      </w:r>
      <w:r w:rsidR="004D1E63">
        <w:t>u</w:t>
      </w:r>
      <w:r w:rsidR="00B24763">
        <w:t>tiedoksi järjestykseltään toinen julkistus</w:t>
      </w:r>
      <w:r w:rsidR="004D1E63">
        <w:t xml:space="preserve"> eli heinäkuussa ilmestyvän ensimmä</w:t>
      </w:r>
      <w:r w:rsidR="004D1E63">
        <w:t>i</w:t>
      </w:r>
      <w:r w:rsidR="004D1E63">
        <w:t>sen</w:t>
      </w:r>
      <w:r w:rsidR="00B24763">
        <w:t xml:space="preserve"> täysmittaisen tilinpidon mukainen tieto</w:t>
      </w:r>
      <w:r w:rsidR="004D1E63">
        <w:t xml:space="preserve">. Osa </w:t>
      </w:r>
      <w:r w:rsidR="00B24763">
        <w:t>lähdeaineistoista</w:t>
      </w:r>
      <w:r w:rsidR="004D1E63">
        <w:t xml:space="preserve"> on silloin </w:t>
      </w:r>
      <w:r w:rsidR="004D1E63">
        <w:lastRenderedPageBreak/>
        <w:t xml:space="preserve">vielä ennakollisia, mutta usein </w:t>
      </w:r>
      <w:r w:rsidR="00990118">
        <w:t xml:space="preserve">myöhemmät </w:t>
      </w:r>
      <w:r w:rsidR="004D1E63">
        <w:t>revisiot ovat olleet melko vähä</w:t>
      </w:r>
      <w:r w:rsidR="004D1E63">
        <w:t>i</w:t>
      </w:r>
      <w:r w:rsidR="004D1E63">
        <w:t>siä.</w:t>
      </w:r>
      <w:r w:rsidR="004D1E63">
        <w:rPr>
          <w:rStyle w:val="Alaviitteenviite"/>
        </w:rPr>
        <w:footnoteReference w:id="2"/>
      </w:r>
    </w:p>
    <w:p w:rsidR="002B640A" w:rsidRDefault="002B640A" w:rsidP="00F60A10">
      <w:pPr>
        <w:pStyle w:val="Leipteksti"/>
      </w:pPr>
    </w:p>
    <w:p w:rsidR="002B640A" w:rsidRDefault="002B640A" w:rsidP="00F60A10">
      <w:pPr>
        <w:pStyle w:val="Leipteksti"/>
      </w:pPr>
      <w:r>
        <w:t>Heinäkuun julkistuksen valitsemista voidaan perustella useilla tavoilla. Ensi</w:t>
      </w:r>
      <w:r>
        <w:t>n</w:t>
      </w:r>
      <w:r>
        <w:t>näkin se mahdollistaa tuoreempien ennusteiden osuvuuden tarkastelemisen i</w:t>
      </w:r>
      <w:r>
        <w:t>l</w:t>
      </w:r>
      <w:r>
        <w:t>man kohtuuttoman pitkää viivettä. Toiseksi sen voidaan ajatella muodostavan eräällä tapaa reilun lähtökohdan ennusteiden osuvuuden tarkastelemise</w:t>
      </w:r>
      <w:r w:rsidR="006E4B20">
        <w:t>lle. Vaikuttaa selvältä, että ne</w:t>
      </w:r>
      <w:r>
        <w:t xml:space="preserve"> muutokset</w:t>
      </w:r>
      <w:r w:rsidR="006E4B20">
        <w:t>,</w:t>
      </w:r>
      <w:r>
        <w:t xml:space="preserve"> joita tilinpitoon tehdään jopa vuosia t</w:t>
      </w:r>
      <w:r>
        <w:t>i</w:t>
      </w:r>
      <w:r>
        <w:t>lastointiajankohdan jälkeen</w:t>
      </w:r>
      <w:r w:rsidR="006E4B20">
        <w:t>,</w:t>
      </w:r>
      <w:r>
        <w:t xml:space="preserve"> ovat luonteeltaan sellaisia, ettei niiden ennustam</w:t>
      </w:r>
      <w:r>
        <w:t>i</w:t>
      </w:r>
      <w:r w:rsidR="006E4B20">
        <w:t>nen ole realistista</w:t>
      </w:r>
      <w:r>
        <w:t>.</w:t>
      </w:r>
      <w:r w:rsidR="00CD5263">
        <w:t xml:space="preserve"> Kolmanneksi</w:t>
      </w:r>
      <w:r w:rsidR="006E4B20">
        <w:t xml:space="preserve"> tilinpidon luvut eivät ole koskaan täysin l</w:t>
      </w:r>
      <w:r w:rsidR="006E4B20">
        <w:t>o</w:t>
      </w:r>
      <w:r w:rsidR="006E4B20">
        <w:t>pullisia eli edes kaksi vuotta tilastovuoden jälkeen tulevan viidennen julkistu</w:t>
      </w:r>
      <w:r w:rsidR="006E4B20">
        <w:t>k</w:t>
      </w:r>
      <w:r w:rsidR="006E4B20">
        <w:t>sen osalta e</w:t>
      </w:r>
      <w:r w:rsidR="009E4D2F">
        <w:t>i voi olla täysin varma, ettei</w:t>
      </w:r>
      <w:r w:rsidR="006E4B20">
        <w:t xml:space="preserve"> se koskaan muuttuisi.</w:t>
      </w:r>
    </w:p>
    <w:p w:rsidR="009E4D2F" w:rsidRDefault="009E4D2F" w:rsidP="00F60A10">
      <w:pPr>
        <w:pStyle w:val="Leipteksti"/>
      </w:pPr>
    </w:p>
    <w:p w:rsidR="002468C7" w:rsidRDefault="00C54F18" w:rsidP="009E4D2F">
      <w:pPr>
        <w:pStyle w:val="Leipteksti"/>
      </w:pPr>
      <w:r>
        <w:t>P</w:t>
      </w:r>
      <w:r w:rsidR="00981C74">
        <w:t>oikkeuksen tähän periaattees</w:t>
      </w:r>
      <w:r w:rsidR="009E4D2F">
        <w:t xml:space="preserve">een </w:t>
      </w:r>
      <w:r>
        <w:t xml:space="preserve">muodostavat kuitenkin </w:t>
      </w:r>
      <w:r w:rsidR="00981C74">
        <w:t>aineiston vanhimmat vuodet, koska vuoteen 2002 saakka oli tässä vaiheessa saatavilla enää nyky</w:t>
      </w:r>
      <w:r w:rsidR="00981C74">
        <w:t>i</w:t>
      </w:r>
      <w:r w:rsidR="00981C74">
        <w:t>nen eli ”lopullinen” tieto. Toistaiseksi p</w:t>
      </w:r>
      <w:r w:rsidR="00C75493">
        <w:t xml:space="preserve">oikkeuksen muodostaa </w:t>
      </w:r>
      <w:r w:rsidR="00981C74">
        <w:t xml:space="preserve">myös </w:t>
      </w:r>
      <w:r w:rsidR="00C75493">
        <w:t>vuosi 2012, jonka osalta on käytet</w:t>
      </w:r>
      <w:r w:rsidR="00981C74">
        <w:t>ty 1</w:t>
      </w:r>
      <w:r w:rsidR="00C75493">
        <w:t>.3.2013 ilmestynyttä tilinpidon ensimmäistä ennakkoa</w:t>
      </w:r>
      <w:r w:rsidR="00981C74">
        <w:t>, koska muuta ei ole vielä ilmestynyt</w:t>
      </w:r>
      <w:r w:rsidR="00C75493">
        <w:t>.</w:t>
      </w:r>
    </w:p>
    <w:p w:rsidR="00990118" w:rsidRDefault="00990118" w:rsidP="00E34121">
      <w:pPr>
        <w:pStyle w:val="Leipteksti"/>
      </w:pPr>
    </w:p>
    <w:p w:rsidR="004F5421" w:rsidRDefault="00E51BBB" w:rsidP="00990118">
      <w:pPr>
        <w:pStyle w:val="Leipteksti"/>
      </w:pPr>
      <w:r>
        <w:t xml:space="preserve">Palkkasummien osalta käytetään </w:t>
      </w:r>
      <w:r w:rsidR="00AD484C">
        <w:t>eläke</w:t>
      </w:r>
      <w:r>
        <w:t>laitosten</w:t>
      </w:r>
      <w:r w:rsidR="00B25270">
        <w:t xml:space="preserve"> kustannustenjakoa varten</w:t>
      </w:r>
      <w:r>
        <w:t xml:space="preserve"> i</w:t>
      </w:r>
      <w:r>
        <w:t>l</w:t>
      </w:r>
      <w:r>
        <w:t>moittamia lopullisia palkkasum</w:t>
      </w:r>
      <w:r w:rsidR="00CD5263">
        <w:t>matietoja, jot</w:t>
      </w:r>
      <w:r w:rsidR="00B25270">
        <w:t>ka toimitetaan Eläketurvakesku</w:t>
      </w:r>
      <w:r w:rsidR="00B25270">
        <w:t>k</w:t>
      </w:r>
      <w:r w:rsidR="00B25270">
        <w:t>selle</w:t>
      </w:r>
      <w:r w:rsidR="00CD5263">
        <w:t xml:space="preserve"> tilastovuotta seuraavana syksynä</w:t>
      </w:r>
      <w:r w:rsidR="006950B4">
        <w:t xml:space="preserve"> elokuun loppuun mennessä</w:t>
      </w:r>
      <w:r>
        <w:t>. Vuoden 2012 osalta käyte</w:t>
      </w:r>
      <w:r w:rsidR="006950B4">
        <w:t>tään toukokuussa</w:t>
      </w:r>
      <w:r w:rsidR="00CD5263">
        <w:t xml:space="preserve"> 2013</w:t>
      </w:r>
      <w:r>
        <w:t xml:space="preserve"> toimitettuja ennakollisia tietoja.</w:t>
      </w:r>
    </w:p>
    <w:p w:rsidR="00AC2FBB" w:rsidRDefault="00AC2FBB" w:rsidP="00990118">
      <w:pPr>
        <w:pStyle w:val="Leipteksti"/>
      </w:pPr>
    </w:p>
    <w:p w:rsidR="000B63D6" w:rsidRPr="00732A42" w:rsidRDefault="00AC2FBB" w:rsidP="00732A42">
      <w:pPr>
        <w:pStyle w:val="Otsikko2"/>
      </w:pPr>
      <w:r>
        <w:t>Aineiston muodostaminen ennusteiden osalta</w:t>
      </w:r>
    </w:p>
    <w:p w:rsidR="000B63D6" w:rsidRDefault="000B63D6" w:rsidP="00670443">
      <w:pPr>
        <w:pStyle w:val="Leipteksti"/>
      </w:pPr>
      <w:r>
        <w:t xml:space="preserve">Samaa periodia koskevat eri ajankohtina tehdyt ennusteet eivät ole keskenään vertailukelpoisia, koska </w:t>
      </w:r>
      <w:r w:rsidR="00AF0D4E">
        <w:t xml:space="preserve">ennustettavan jakson pituus ja </w:t>
      </w:r>
      <w:r>
        <w:t>käytettävissä olevan tiedon määrä vaihtelee</w:t>
      </w:r>
      <w:r w:rsidR="00AF0D4E">
        <w:t xml:space="preserve">. KT-ennusteiden vertailemisen suhteen ongelmana on myös niiden </w:t>
      </w:r>
      <w:r w:rsidR="005650DA">
        <w:t>epäsäännöllinen</w:t>
      </w:r>
      <w:r w:rsidR="00AF0D4E">
        <w:t xml:space="preserve"> ilmestymisaikataulu.</w:t>
      </w:r>
    </w:p>
    <w:p w:rsidR="00670443" w:rsidRDefault="00670443" w:rsidP="00670443">
      <w:pPr>
        <w:pStyle w:val="Leipteksti"/>
        <w:ind w:left="0"/>
      </w:pPr>
    </w:p>
    <w:p w:rsidR="00670443" w:rsidRDefault="00B253BD" w:rsidP="00E34121">
      <w:pPr>
        <w:pStyle w:val="Leipteksti"/>
      </w:pPr>
      <w:r>
        <w:t>Aineistoa koottaessa on pyritty löytämään ajankohdat, jolloin ennusteita on tyypillisimmin ilmestynyt.</w:t>
      </w:r>
      <w:r w:rsidR="00670443">
        <w:t xml:space="preserve"> Useimpina vuosina on ilmestynyt ennuste keväällä toukokuussa ja syksyllä syyskuussa. Siksi jokaiselta vuodelta on valittu kaksi ennustetta: ennuste, jonka ilmestyminen on lähinnä toukokuun 15. päivää ja ennuste, jonka ilmestyminen on lähinnä syyskuun 15. päivää.</w:t>
      </w:r>
    </w:p>
    <w:p w:rsidR="00670443" w:rsidRDefault="00670443" w:rsidP="00E34121">
      <w:pPr>
        <w:pStyle w:val="Leipteksti"/>
      </w:pPr>
    </w:p>
    <w:p w:rsidR="00670443" w:rsidRDefault="00670443" w:rsidP="00E34121">
      <w:pPr>
        <w:pStyle w:val="Leipteksti"/>
      </w:pPr>
      <w:r>
        <w:t xml:space="preserve">Tällä tavalla on saatu </w:t>
      </w:r>
      <w:r w:rsidR="005650DA">
        <w:t xml:space="preserve">laaja ja </w:t>
      </w:r>
      <w:r>
        <w:t>kohtalaisen vertailukelpoinen aineisto, joka alkaa 21.9.1998 tehdystä ennusteesta ja</w:t>
      </w:r>
      <w:r w:rsidR="00AA4DE4">
        <w:t xml:space="preserve"> päättyy</w:t>
      </w:r>
      <w:r>
        <w:t xml:space="preserve"> 12.9.2012</w:t>
      </w:r>
      <w:r w:rsidR="00AA4DE4">
        <w:t xml:space="preserve"> tehtyyn ennusteeseen</w:t>
      </w:r>
      <w:r>
        <w:t>.</w:t>
      </w:r>
      <w:r w:rsidR="00035380">
        <w:t xml:space="preserve"> </w:t>
      </w:r>
      <w:r w:rsidR="000F7A32">
        <w:t xml:space="preserve">Vuoden 2012 osalta ei </w:t>
      </w:r>
      <w:r w:rsidR="005650DA">
        <w:t xml:space="preserve">lopullista vertailutietoa </w:t>
      </w:r>
      <w:r w:rsidR="000F7A32">
        <w:t>tosin</w:t>
      </w:r>
      <w:r w:rsidR="005650DA">
        <w:t xml:space="preserve"> ole</w:t>
      </w:r>
      <w:r w:rsidR="000F7A32">
        <w:t xml:space="preserve"> vielä saatavilla kaiki</w:t>
      </w:r>
      <w:r w:rsidR="000F7A32">
        <w:t>s</w:t>
      </w:r>
      <w:r w:rsidR="000F7A32">
        <w:t>ta muuttujista.</w:t>
      </w:r>
    </w:p>
    <w:p w:rsidR="00670443" w:rsidRDefault="00670443" w:rsidP="00E34121">
      <w:pPr>
        <w:pStyle w:val="Leipteksti"/>
      </w:pPr>
    </w:p>
    <w:p w:rsidR="00DB1F26" w:rsidRDefault="00AA4DE4" w:rsidP="002301A4">
      <w:pPr>
        <w:pStyle w:val="Leipteksti"/>
      </w:pPr>
      <w:r>
        <w:t>Kaikkin</w:t>
      </w:r>
      <w:r w:rsidR="00035380">
        <w:t>a vuosina on KT-ennusteita ilme</w:t>
      </w:r>
      <w:r>
        <w:t>stynyt myös muina ajankohtina, va</w:t>
      </w:r>
      <w:r>
        <w:t>r</w:t>
      </w:r>
      <w:r w:rsidR="00B24763">
        <w:t>sin epäsäännölliseen tahtiin</w:t>
      </w:r>
      <w:r>
        <w:t>. Enimmillään ennusteita on i</w:t>
      </w:r>
      <w:r w:rsidR="00393F2C">
        <w:t xml:space="preserve">lmestynyt jopa yli 10 </w:t>
      </w:r>
      <w:r>
        <w:lastRenderedPageBreak/>
        <w:t>vuodessa. Näitä ”ylimääräisiä” ennusteita ei ole analyysissa huomioitu lai</w:t>
      </w:r>
      <w:r>
        <w:t>n</w:t>
      </w:r>
      <w:r>
        <w:t>kaan.</w:t>
      </w:r>
    </w:p>
    <w:p w:rsidR="00DB1F26" w:rsidRDefault="00DB1F26" w:rsidP="00E34121">
      <w:pPr>
        <w:pStyle w:val="Leipteksti"/>
      </w:pPr>
    </w:p>
    <w:p w:rsidR="00CC6844" w:rsidRDefault="00FB6101" w:rsidP="00455F2C">
      <w:pPr>
        <w:pStyle w:val="Leipteksti"/>
      </w:pPr>
      <w:r>
        <w:t>Ennusteista otetaan mukaan ennusteentekovuotta sekä kahta seuraavaa vuotta koskevat ennusteet sikäli kuin vertailutieto on jo olemassa. Esimerkiksi vuo</w:t>
      </w:r>
      <w:r>
        <w:t>n</w:t>
      </w:r>
      <w:r>
        <w:t>na 2010 tehtyjä ennusteita tarkastellaan siis vuosien 2010, 2011 ja 2012 osalta, mutta vuonna 2012 tehtyjä ennusteita vain vuoden 2012 osalta.</w:t>
      </w:r>
      <w:r w:rsidR="00393F2C">
        <w:t xml:space="preserve"> Täysien vuos</w:t>
      </w:r>
      <w:r w:rsidR="00393F2C">
        <w:t>i</w:t>
      </w:r>
      <w:r w:rsidR="00393F2C">
        <w:t>en (1998–2010) osalta saadaan siis 2</w:t>
      </w:r>
      <w:r w:rsidR="00EE3794">
        <w:t xml:space="preserve"> </w:t>
      </w:r>
      <w:r>
        <w:t>x</w:t>
      </w:r>
      <w:r w:rsidR="00EE3794">
        <w:t xml:space="preserve"> </w:t>
      </w:r>
      <w:r w:rsidR="00393F2C">
        <w:t>3</w:t>
      </w:r>
      <w:r w:rsidR="00EE3794">
        <w:t xml:space="preserve"> </w:t>
      </w:r>
      <w:r>
        <w:t>=</w:t>
      </w:r>
      <w:r w:rsidR="00EE3794">
        <w:t xml:space="preserve"> </w:t>
      </w:r>
      <w:r w:rsidR="00393F2C">
        <w:t>6</w:t>
      </w:r>
      <w:r>
        <w:t xml:space="preserve"> havaintoa</w:t>
      </w:r>
      <w:r w:rsidR="00393F2C">
        <w:t xml:space="preserve"> jokaisesta muuttujasta</w:t>
      </w:r>
      <w:r>
        <w:t>.</w:t>
      </w:r>
    </w:p>
    <w:p w:rsidR="00455F2C" w:rsidRDefault="00455F2C" w:rsidP="00455F2C">
      <w:pPr>
        <w:pStyle w:val="Leipteksti"/>
      </w:pPr>
    </w:p>
    <w:p w:rsidR="00EE3794" w:rsidRDefault="00EE3794" w:rsidP="00374715">
      <w:pPr>
        <w:pStyle w:val="Otsikko3"/>
      </w:pPr>
      <w:r>
        <w:t>Tulokset</w:t>
      </w:r>
    </w:p>
    <w:p w:rsidR="00D53AA7" w:rsidRDefault="00D53AA7" w:rsidP="002E3036">
      <w:pPr>
        <w:pStyle w:val="Leipteksti"/>
      </w:pPr>
      <w:r>
        <w:t>Tau</w:t>
      </w:r>
      <w:r w:rsidR="00035380">
        <w:t xml:space="preserve">lukossa </w:t>
      </w:r>
      <w:r w:rsidR="002E3036">
        <w:t>1 esitetään kaikista tarkastelluista muuttujista keskimääräiset e</w:t>
      </w:r>
      <w:r w:rsidR="002E3036">
        <w:t>n</w:t>
      </w:r>
      <w:r w:rsidR="002E3036">
        <w:t xml:space="preserve">nustevirheet, ennustevirheiden itseisarvojen keskiarvot sekä </w:t>
      </w:r>
      <w:r w:rsidR="00B25270">
        <w:t xml:space="preserve">itseisarvoltaan </w:t>
      </w:r>
      <w:r w:rsidR="002E3036">
        <w:t>suurimmat yksittäiset ennustevirheet.</w:t>
      </w:r>
    </w:p>
    <w:p w:rsidR="002E3036" w:rsidRDefault="002E3036" w:rsidP="002E3036">
      <w:pPr>
        <w:pStyle w:val="Leipteksti"/>
      </w:pPr>
    </w:p>
    <w:p w:rsidR="002E3036" w:rsidRDefault="002E3036" w:rsidP="002E3036">
      <w:pPr>
        <w:pStyle w:val="Leipteksti"/>
      </w:pPr>
      <w:r>
        <w:t>T on samaa vuotta koskeva ennuste, T+1 seuraavaa vuotta koskeva ennuste jne. Keväällä ja syksyllä tehdyt ennusteet ovat taulukossa omina ryhminään.</w:t>
      </w:r>
      <w:r w:rsidR="009B2758">
        <w:t xml:space="preserve"> Eri vuosia k</w:t>
      </w:r>
      <w:r w:rsidR="00455F2C">
        <w:t>oskevat ennusteet on yhdistetty;</w:t>
      </w:r>
      <w:r w:rsidR="009B2758">
        <w:t xml:space="preserve"> ratkaisevaa on ennusteen tek</w:t>
      </w:r>
      <w:r w:rsidR="009B2758">
        <w:t>o</w:t>
      </w:r>
      <w:r w:rsidR="009B2758">
        <w:t>ajankohdan ja ennustettava ajankohdan välinen aika.</w:t>
      </w:r>
    </w:p>
    <w:p w:rsidR="0052108E" w:rsidRDefault="0052108E" w:rsidP="002E3036">
      <w:pPr>
        <w:pStyle w:val="Leipteksti"/>
      </w:pPr>
    </w:p>
    <w:p w:rsidR="0052108E" w:rsidRDefault="0052108E" w:rsidP="0052108E">
      <w:pPr>
        <w:pStyle w:val="Leipteksti"/>
      </w:pPr>
      <w:r>
        <w:t>Jo e</w:t>
      </w:r>
      <w:r w:rsidR="00B25270">
        <w:t>tukäteen on syytä todeta, että T</w:t>
      </w:r>
      <w:r>
        <w:t>aulukon 1 tulosten tulkinnassa on noudate</w:t>
      </w:r>
      <w:r>
        <w:t>t</w:t>
      </w:r>
      <w:r w:rsidR="009B2758">
        <w:t xml:space="preserve">tava varovaisuutta. Tuloksiin vaikuttavat </w:t>
      </w:r>
      <w:r>
        <w:t>vuonna 2008 alkaneen finanssikriisin yhteydessä syntyneet poikkeuksellisen suuret ennustevirheet. Esimerkiksi vi</w:t>
      </w:r>
      <w:r>
        <w:t>e</w:t>
      </w:r>
      <w:r>
        <w:t>lä edellisenä vuonna tehdyt bruttokansantuotteen volyymia koskevat ennusteet ovat olleet jopa yli kymmenen prosenttiyksikköä liian korkeita! Myös pal</w:t>
      </w:r>
      <w:r>
        <w:t>k</w:t>
      </w:r>
      <w:r>
        <w:t>ka</w:t>
      </w:r>
      <w:r w:rsidR="00455F2C">
        <w:t>summia koskevat ennusteet ovat olleet kaukana todellisesta kehityksestä.</w:t>
      </w:r>
    </w:p>
    <w:p w:rsidR="0052108E" w:rsidRDefault="0052108E" w:rsidP="0052108E">
      <w:pPr>
        <w:pStyle w:val="Leipteksti"/>
      </w:pPr>
    </w:p>
    <w:p w:rsidR="0052108E" w:rsidRDefault="0052108E" w:rsidP="0052108E">
      <w:pPr>
        <w:pStyle w:val="Leipteksti"/>
      </w:pPr>
      <w:r>
        <w:t>Tämän suuruusluokan virheet eivät ole normaaliolosuhteissa mahdollisia. Si</w:t>
      </w:r>
      <w:r>
        <w:t>k</w:t>
      </w:r>
      <w:r>
        <w:t>si on hyödyllistä tarkastella ennustevirheitä myös aineistolla, josta finanssikri</w:t>
      </w:r>
      <w:r>
        <w:t>i</w:t>
      </w:r>
      <w:r>
        <w:t>siin ajoittuva jakso on tiputettu pois.</w:t>
      </w:r>
      <w:r w:rsidR="00035380">
        <w:t xml:space="preserve"> Analyysissä käsitellään kuitenkin ensin </w:t>
      </w:r>
      <w:r w:rsidR="00B24763">
        <w:t xml:space="preserve">koko aineistolla </w:t>
      </w:r>
      <w:r w:rsidR="00B820EC">
        <w:t xml:space="preserve">laskettuja </w:t>
      </w:r>
      <w:r w:rsidR="00B24763">
        <w:t>tuloksia</w:t>
      </w:r>
      <w:r w:rsidR="00B820EC">
        <w:t>, jo</w:t>
      </w:r>
      <w:r w:rsidR="001A7548">
        <w:t>ihi</w:t>
      </w:r>
      <w:r w:rsidR="00B820EC">
        <w:t>n on sisällytetty kaikki ennustep</w:t>
      </w:r>
      <w:r w:rsidR="00B820EC">
        <w:t>e</w:t>
      </w:r>
      <w:r w:rsidR="00B820EC">
        <w:t>riodit</w:t>
      </w:r>
      <w:r w:rsidR="00B24763">
        <w:t>.</w:t>
      </w: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FE214C" w:rsidRDefault="00FE214C" w:rsidP="0052108E">
      <w:pPr>
        <w:pStyle w:val="Leipteksti"/>
      </w:pPr>
    </w:p>
    <w:p w:rsidR="00B24763" w:rsidRDefault="00B24763" w:rsidP="00E605DB">
      <w:pPr>
        <w:pStyle w:val="Leipteksti"/>
        <w:ind w:left="0"/>
      </w:pPr>
    </w:p>
    <w:p w:rsidR="00961633" w:rsidRDefault="00C07B71" w:rsidP="00B24763">
      <w:pPr>
        <w:pStyle w:val="Otsikko3"/>
      </w:pPr>
      <w:r>
        <w:lastRenderedPageBreak/>
        <w:t>Taulukko 1. Ennustevirheet (</w:t>
      </w:r>
      <w:r w:rsidR="00B24763">
        <w:t>koko aineisto</w:t>
      </w:r>
      <w:r>
        <w:t>)</w:t>
      </w:r>
    </w:p>
    <w:p w:rsidR="00961633" w:rsidRDefault="00961633" w:rsidP="00961633">
      <w:pPr>
        <w:rPr>
          <w:noProof/>
          <w:lang w:eastAsia="fi-FI"/>
        </w:rPr>
      </w:pPr>
    </w:p>
    <w:p w:rsidR="005239B6" w:rsidRDefault="00F97E47" w:rsidP="00961633">
      <w:pPr>
        <w:rPr>
          <w:noProof/>
          <w:lang w:eastAsia="fi-FI"/>
        </w:rPr>
      </w:pPr>
      <w:r w:rsidRPr="00F97E47">
        <w:rPr>
          <w:noProof/>
          <w:lang w:val="en-US"/>
        </w:rPr>
        <w:drawing>
          <wp:inline distT="0" distB="0" distL="0" distR="0" wp14:anchorId="0DF2EFA9" wp14:editId="3BE0CF3B">
            <wp:extent cx="6116517" cy="21960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17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B6" w:rsidRDefault="005239B6" w:rsidP="00961633">
      <w:pPr>
        <w:rPr>
          <w:noProof/>
          <w:lang w:eastAsia="fi-FI"/>
        </w:rPr>
      </w:pPr>
    </w:p>
    <w:p w:rsidR="005239B6" w:rsidRDefault="005239B6" w:rsidP="00961633">
      <w:pPr>
        <w:rPr>
          <w:noProof/>
          <w:lang w:eastAsia="fi-FI"/>
        </w:rPr>
      </w:pPr>
    </w:p>
    <w:p w:rsidR="005239B6" w:rsidRPr="005239B6" w:rsidRDefault="005239B6" w:rsidP="005239B6">
      <w:pPr>
        <w:pStyle w:val="Leipteksti"/>
      </w:pPr>
    </w:p>
    <w:p w:rsidR="00D77178" w:rsidRDefault="006950B4" w:rsidP="00DA7798">
      <w:pPr>
        <w:pStyle w:val="Leipteksti"/>
      </w:pPr>
      <w:r>
        <w:t>Selvästi kuluvaa vuotta koskevat ennusteet ovat oleellisesti luotettavampia kuin pidemmälle tulevaisuuteen ulottuvat</w:t>
      </w:r>
      <w:r w:rsidR="00EE3EFD">
        <w:t xml:space="preserve"> ennusteet</w:t>
      </w:r>
      <w:r>
        <w:t>. Jo seuraavaa vuotta ko</w:t>
      </w:r>
      <w:r>
        <w:t>s</w:t>
      </w:r>
      <w:r>
        <w:t>kevat ennus</w:t>
      </w:r>
      <w:r w:rsidR="00DA7798">
        <w:t xml:space="preserve">teet ovat olleet </w:t>
      </w:r>
      <w:r>
        <w:t>epätarkempia, eikä niiden ero kahden vuoden pä</w:t>
      </w:r>
      <w:r>
        <w:t>ä</w:t>
      </w:r>
      <w:r>
        <w:t xml:space="preserve">hän meneviin ennusteisiin ole </w:t>
      </w:r>
      <w:r w:rsidR="00C54F18">
        <w:t xml:space="preserve">enää </w:t>
      </w:r>
      <w:r w:rsidR="00DA7798">
        <w:t>yhtä</w:t>
      </w:r>
      <w:r>
        <w:t xml:space="preserve"> suuri.</w:t>
      </w:r>
      <w:r w:rsidR="00DA7798">
        <w:t xml:space="preserve"> </w:t>
      </w:r>
      <w:r w:rsidR="00D77178">
        <w:t>Keväällä ja syksyllä tehdyissä ennusteissa ei ole kovin suurta eroa, mutta lähes aina lyhyempi ennusteh</w:t>
      </w:r>
      <w:r w:rsidR="00D77178">
        <w:t>o</w:t>
      </w:r>
      <w:r w:rsidR="00D77178">
        <w:t>risontti parantaa tilan</w:t>
      </w:r>
      <w:r w:rsidR="006C6C0D">
        <w:t>netta.</w:t>
      </w:r>
      <w:r w:rsidR="00480E05">
        <w:rPr>
          <w:rStyle w:val="Alaviitteenviite"/>
        </w:rPr>
        <w:footnoteReference w:id="3"/>
      </w:r>
    </w:p>
    <w:p w:rsidR="00D77178" w:rsidRDefault="00D77178" w:rsidP="005239B6">
      <w:pPr>
        <w:pStyle w:val="Leipteksti"/>
      </w:pPr>
    </w:p>
    <w:p w:rsidR="008F270A" w:rsidRDefault="00D77178" w:rsidP="007B1DD5">
      <w:pPr>
        <w:pStyle w:val="Leipteksti"/>
      </w:pPr>
      <w:r>
        <w:t>Harhattomuudesta on vaikea tehdä</w:t>
      </w:r>
      <w:r w:rsidR="00DA7798">
        <w:t xml:space="preserve"> sitovia johtopäätöksiä, mutta v</w:t>
      </w:r>
      <w:r>
        <w:t>aikuttaa se</w:t>
      </w:r>
      <w:r>
        <w:t>l</w:t>
      </w:r>
      <w:r>
        <w:t xml:space="preserve">vältä, että ainakin inflaatio- ja työttömyysaste-ennusteet ovat olleet </w:t>
      </w:r>
      <w:r w:rsidR="00DA7798">
        <w:t xml:space="preserve">jokseenkin </w:t>
      </w:r>
      <w:r>
        <w:t xml:space="preserve">harhattomia. Ansiotason ja palkkasummien </w:t>
      </w:r>
      <w:r w:rsidR="00DA7798">
        <w:t xml:space="preserve">kehitystä koskevien ennusteiden </w:t>
      </w:r>
      <w:r>
        <w:t xml:space="preserve">kohdalla on jonkin verran merkkiä </w:t>
      </w:r>
      <w:r w:rsidR="00DA7798">
        <w:t xml:space="preserve">systemaattisesta </w:t>
      </w:r>
      <w:r>
        <w:t>aliarvioimisesta ja BKT:n volyymin kohdalla yliarvioimis</w:t>
      </w:r>
      <w:r w:rsidR="00DA7798">
        <w:t>esta.</w:t>
      </w:r>
      <w:r w:rsidR="00333F03">
        <w:t xml:space="preserve"> </w:t>
      </w:r>
    </w:p>
    <w:p w:rsidR="00D85CE9" w:rsidRDefault="00D85CE9" w:rsidP="005239B6">
      <w:pPr>
        <w:pStyle w:val="Leipteksti"/>
      </w:pPr>
    </w:p>
    <w:p w:rsidR="009B2758" w:rsidRDefault="009B2758" w:rsidP="009B2758">
      <w:pPr>
        <w:pStyle w:val="Leipteksti"/>
      </w:pPr>
      <w:r>
        <w:t>Taulukossa 2 ovat vastaavat tulokset laskettuna aineistolla, josta on poistettu kaikki vuosia 2008–</w:t>
      </w:r>
      <w:r w:rsidR="001D7E12">
        <w:t>2010 koskevat ennusteet.</w:t>
      </w:r>
      <w:r w:rsidR="005239B6">
        <w:rPr>
          <w:rStyle w:val="Alaviitteenviite"/>
        </w:rPr>
        <w:footnoteReference w:id="4"/>
      </w:r>
      <w:r w:rsidR="001D7E12">
        <w:t xml:space="preserve"> </w:t>
      </w:r>
      <w:r>
        <w:t xml:space="preserve">Kaikki poistetut ennusteet eivät ole olleet erityisen epätarkkoja sillä suurimmat virheet ovat </w:t>
      </w:r>
      <w:r w:rsidR="001D7E12">
        <w:t>syn</w:t>
      </w:r>
      <w:r>
        <w:t>tyneet vuosina 2007–</w:t>
      </w:r>
      <w:r w:rsidR="001D7E12">
        <w:t>2008 tehdyissä vuotta 2009 koskevissa ennusteissa.</w:t>
      </w:r>
      <w:r>
        <w:t xml:space="preserve"> Tulkinnan selke</w:t>
      </w:r>
      <w:r>
        <w:t>y</w:t>
      </w:r>
      <w:r>
        <w:t>den vuoksi on kaikki finanssikriisiin liittyvät ennusteet</w:t>
      </w:r>
      <w:r w:rsidR="007B1DD5">
        <w:t xml:space="preserve"> kuitenkin poistettu</w:t>
      </w:r>
      <w:r>
        <w:t>.</w:t>
      </w:r>
    </w:p>
    <w:p w:rsidR="009B2758" w:rsidRDefault="009B2758" w:rsidP="009B2758">
      <w:pPr>
        <w:pStyle w:val="Leipteksti"/>
      </w:pPr>
    </w:p>
    <w:p w:rsidR="00F912CE" w:rsidRDefault="00EE3EFD" w:rsidP="009B2758">
      <w:pPr>
        <w:pStyle w:val="Leipteksti"/>
      </w:pPr>
      <w:r>
        <w:t>K</w:t>
      </w:r>
      <w:r w:rsidR="009B2758">
        <w:t>aikkien</w:t>
      </w:r>
      <w:r w:rsidR="00F912CE">
        <w:t xml:space="preserve"> suhdanne</w:t>
      </w:r>
      <w:r w:rsidR="009B2758">
        <w:t>käänteiden yhteydessä syntyy</w:t>
      </w:r>
      <w:r w:rsidR="00F912CE">
        <w:t xml:space="preserve"> poikkeuksellisen suuria vi</w:t>
      </w:r>
      <w:r w:rsidR="00F912CE">
        <w:t>r</w:t>
      </w:r>
      <w:r w:rsidR="00F912CE">
        <w:t xml:space="preserve">heitä. </w:t>
      </w:r>
      <w:r w:rsidR="009B2758">
        <w:t xml:space="preserve">Muiden käänteiden yhteydessä onkin syntynyt ennustevirheitä, jotka ovat olleet suurempia kuin osa nyt poistetuista arvoista. </w:t>
      </w:r>
      <w:r w:rsidR="00F912CE">
        <w:t>Ennustevirhei</w:t>
      </w:r>
      <w:r w:rsidR="00C80C08">
        <w:t>den mi</w:t>
      </w:r>
      <w:r w:rsidR="00C80C08">
        <w:t>t</w:t>
      </w:r>
      <w:r w:rsidR="00C80C08">
        <w:t>taaminen muuttuisi</w:t>
      </w:r>
      <w:r w:rsidR="00F912CE">
        <w:t xml:space="preserve"> kuinkin triviaal</w:t>
      </w:r>
      <w:r>
        <w:t>iksi, jos aineistosta poistettaisiin</w:t>
      </w:r>
      <w:r w:rsidR="00F912CE">
        <w:t xml:space="preserve"> kaikki pi</w:t>
      </w:r>
      <w:r w:rsidR="00F912CE">
        <w:t>e</w:t>
      </w:r>
      <w:r>
        <w:t>leen menneet ennusteet.</w:t>
      </w:r>
    </w:p>
    <w:p w:rsidR="005239B6" w:rsidRDefault="005239B6" w:rsidP="00C42A62">
      <w:pPr>
        <w:pStyle w:val="Leipteksti"/>
        <w:ind w:left="0"/>
      </w:pPr>
    </w:p>
    <w:p w:rsidR="005239B6" w:rsidRDefault="005239B6" w:rsidP="00C07B71">
      <w:pPr>
        <w:pStyle w:val="Otsikko3"/>
      </w:pPr>
      <w:r>
        <w:lastRenderedPageBreak/>
        <w:t>Taulukko 2. Ennustevirheet (</w:t>
      </w:r>
      <w:r w:rsidR="00C07B71">
        <w:t>vuosia 2008–</w:t>
      </w:r>
      <w:r>
        <w:t>2010</w:t>
      </w:r>
      <w:r w:rsidR="00C07B71">
        <w:t xml:space="preserve"> koskevat ennusteet</w:t>
      </w:r>
      <w:r>
        <w:t xml:space="preserve"> poistettu)</w:t>
      </w:r>
    </w:p>
    <w:p w:rsidR="00961633" w:rsidRDefault="00961633" w:rsidP="005239B6"/>
    <w:p w:rsidR="00961633" w:rsidRDefault="00F97E47" w:rsidP="005239B6">
      <w:r w:rsidRPr="00F97E47">
        <w:rPr>
          <w:noProof/>
          <w:lang w:val="en-US"/>
        </w:rPr>
        <w:drawing>
          <wp:inline distT="0" distB="0" distL="0" distR="0" wp14:anchorId="48EF3938" wp14:editId="1C72E6F9">
            <wp:extent cx="6116517" cy="219600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17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94" w:rsidRDefault="00EE3794" w:rsidP="00961633"/>
    <w:p w:rsidR="00D85CE9" w:rsidRDefault="00D85CE9" w:rsidP="00E34121">
      <w:pPr>
        <w:pStyle w:val="Leipteksti"/>
      </w:pPr>
    </w:p>
    <w:p w:rsidR="009140F5" w:rsidRDefault="009140F5" w:rsidP="00452FE7">
      <w:pPr>
        <w:pStyle w:val="Leipteksti"/>
      </w:pPr>
      <w:r>
        <w:t>Finanssikriisijaksoa koskevien ennusteiden poistaminen vaikuttaa e</w:t>
      </w:r>
      <w:r w:rsidR="00EE3EFD">
        <w:t>ri tavalla eri muuttujiin</w:t>
      </w:r>
      <w:r>
        <w:t xml:space="preserve">. </w:t>
      </w:r>
      <w:r w:rsidR="00FE214C">
        <w:t>Erityisesti i</w:t>
      </w:r>
      <w:r w:rsidR="00E40EB8">
        <w:t>nflaati</w:t>
      </w:r>
      <w:r w:rsidR="00FE214C">
        <w:t>on ja</w:t>
      </w:r>
      <w:r w:rsidR="00E40EB8">
        <w:t xml:space="preserve"> </w:t>
      </w:r>
      <w:r>
        <w:t>ansioindeksin ennusteiden osalta vaik</w:t>
      </w:r>
      <w:r>
        <w:t>u</w:t>
      </w:r>
      <w:r>
        <w:t>tuk</w:t>
      </w:r>
      <w:r w:rsidR="00E40EB8">
        <w:t>set keskiarvoihin ovat melko</w:t>
      </w:r>
      <w:r>
        <w:t xml:space="preserve"> pieniä, vaikka suurimmat ennustevirheet jä</w:t>
      </w:r>
      <w:r>
        <w:t>ä</w:t>
      </w:r>
      <w:r>
        <w:t>vätkin jonkin verran matalammiksi.</w:t>
      </w:r>
      <w:r w:rsidR="00E40EB8">
        <w:t xml:space="preserve"> </w:t>
      </w:r>
      <w:r w:rsidR="001F74EA">
        <w:t>Työttömyysaste-ennusteiden tark</w:t>
      </w:r>
      <w:r w:rsidR="00FE214C">
        <w:t>kuus p</w:t>
      </w:r>
      <w:r w:rsidR="00FE214C">
        <w:t>a</w:t>
      </w:r>
      <w:r w:rsidR="00FE214C">
        <w:t>ranee jonkin verran enemmän</w:t>
      </w:r>
      <w:r w:rsidR="001F74EA">
        <w:t xml:space="preserve">. </w:t>
      </w:r>
      <w:r w:rsidR="00E40EB8">
        <w:t>Sen sijaan palkkasummien ja bruttokansantuo</w:t>
      </w:r>
      <w:r w:rsidR="00E40EB8">
        <w:t>t</w:t>
      </w:r>
      <w:r w:rsidR="00E40EB8">
        <w:t>teen kohdalla finanssikriisin yhteydessä syntyneet ennustevirheet ovat olleet niin suuria, että niiden poistaminen vaikuttaa tuntuvasti jopa keskiarvoihin.</w:t>
      </w:r>
    </w:p>
    <w:p w:rsidR="00E40EB8" w:rsidRDefault="00E40EB8" w:rsidP="00452FE7">
      <w:pPr>
        <w:pStyle w:val="Leipteksti"/>
      </w:pPr>
    </w:p>
    <w:p w:rsidR="00C54F18" w:rsidRDefault="00FE214C" w:rsidP="00480E05">
      <w:pPr>
        <w:pStyle w:val="Leipteksti"/>
      </w:pPr>
      <w:r>
        <w:t xml:space="preserve">Bruttokansantuotteen volyymin </w:t>
      </w:r>
      <w:r w:rsidR="00E40EB8">
        <w:t xml:space="preserve">ennusteiden </w:t>
      </w:r>
      <w:r>
        <w:t xml:space="preserve">osalta </w:t>
      </w:r>
      <w:r w:rsidR="00E40EB8">
        <w:t>tilanne näyttää harhatt</w:t>
      </w:r>
      <w:r w:rsidR="00E40EB8">
        <w:t>o</w:t>
      </w:r>
      <w:r w:rsidR="00E40EB8">
        <w:t xml:space="preserve">muuden </w:t>
      </w:r>
      <w:r>
        <w:t>suhteen hyvältä, kun vuosia 2008−</w:t>
      </w:r>
      <w:r w:rsidR="00E40EB8">
        <w:t>2010 koskevat ennusteet poist</w:t>
      </w:r>
      <w:r w:rsidR="00E40EB8">
        <w:t>e</w:t>
      </w:r>
      <w:r w:rsidR="00E40EB8">
        <w:t>taan. Sen sijaan palkkasummien kohdalla tilanne muutt</w:t>
      </w:r>
      <w:r>
        <w:t>uu yllättäen huono</w:t>
      </w:r>
      <w:r>
        <w:t>m</w:t>
      </w:r>
      <w:r>
        <w:t xml:space="preserve">maksi eli onkin </w:t>
      </w:r>
      <w:r w:rsidR="00E40EB8">
        <w:t>enemmän merkkiä siitä, että ennusteet ovat aliarvioineet pal</w:t>
      </w:r>
      <w:r w:rsidR="00E40EB8">
        <w:t>k</w:t>
      </w:r>
      <w:r w:rsidR="00E40EB8">
        <w:t>kasummien kehitystä.</w:t>
      </w:r>
      <w:r w:rsidR="00C54F18">
        <w:t xml:space="preserve"> Finanssikriisin synkimmässä vaiheessa on</w:t>
      </w:r>
      <w:r w:rsidR="00586E38">
        <w:t xml:space="preserve"> palkkasu</w:t>
      </w:r>
      <w:r w:rsidR="00586E38">
        <w:t>m</w:t>
      </w:r>
      <w:r w:rsidR="00586E38">
        <w:t>mien kehi</w:t>
      </w:r>
      <w:r w:rsidR="00C54F18">
        <w:t xml:space="preserve">tys </w:t>
      </w:r>
      <w:r w:rsidR="00586E38">
        <w:t>aliarvioi</w:t>
      </w:r>
      <w:r w:rsidR="00C54F18">
        <w:t>tu</w:t>
      </w:r>
      <w:r w:rsidR="00586E38">
        <w:t>, vaikka ensin onkin syntynyt toiseen suuntaan men</w:t>
      </w:r>
      <w:r w:rsidR="00586E38">
        <w:t>e</w:t>
      </w:r>
      <w:r w:rsidR="00586E38">
        <w:t>viä virheitä. Tästä on kuitenkin vaikea tehdä pitkälle meneviä johtopäätöksiä, koska olosuhteet ovat olleet niin poikkeuksellisia.</w:t>
      </w:r>
      <w:r w:rsidR="001D6E92">
        <w:t xml:space="preserve"> </w:t>
      </w:r>
    </w:p>
    <w:p w:rsidR="00C54F18" w:rsidRDefault="00C54F18" w:rsidP="00480E05">
      <w:pPr>
        <w:pStyle w:val="Leipteksti"/>
      </w:pPr>
    </w:p>
    <w:p w:rsidR="00E40EB8" w:rsidRDefault="00480E05" w:rsidP="00480E05">
      <w:pPr>
        <w:pStyle w:val="Leipteksti"/>
      </w:pPr>
      <w:r>
        <w:t>Työttömy</w:t>
      </w:r>
      <w:r w:rsidR="00C54F18">
        <w:t>y</w:t>
      </w:r>
      <w:r>
        <w:t>saste-ennusteet ovat olleet aavistuksen verran liian korkeita eli työ</w:t>
      </w:r>
      <w:r>
        <w:t>t</w:t>
      </w:r>
      <w:r w:rsidR="00C54F18">
        <w:t>tö</w:t>
      </w:r>
      <w:r>
        <w:t xml:space="preserve">myyden trendinomainen aleneminen on arvioitu hieman liian hitaaksi. </w:t>
      </w:r>
      <w:r w:rsidR="001D6E92">
        <w:t>Yle</w:t>
      </w:r>
      <w:r w:rsidR="001D6E92">
        <w:t>i</w:t>
      </w:r>
      <w:r w:rsidR="001D6E92">
        <w:t xml:space="preserve">sesti ottaen </w:t>
      </w:r>
      <w:r>
        <w:t>tehtyjä ennusteita voidaan luonnehtia</w:t>
      </w:r>
      <w:r w:rsidR="001D6E92">
        <w:t xml:space="preserve"> pikemminkin liian varova</w:t>
      </w:r>
      <w:r w:rsidR="001D6E92">
        <w:t>i</w:t>
      </w:r>
      <w:r>
        <w:t>siksi kuin liian optimistisiksi</w:t>
      </w:r>
      <w:r w:rsidR="00C54F18">
        <w:t xml:space="preserve"> sekä työttömyyden että ansiotason ja pal</w:t>
      </w:r>
      <w:r w:rsidR="00C54F18">
        <w:t>k</w:t>
      </w:r>
      <w:r w:rsidR="00C54F18">
        <w:t>kasummien osalta.</w:t>
      </w:r>
    </w:p>
    <w:p w:rsidR="00E40EB8" w:rsidRDefault="00E40EB8" w:rsidP="00FE214C">
      <w:pPr>
        <w:pStyle w:val="Leipteksti"/>
        <w:ind w:left="0"/>
      </w:pPr>
    </w:p>
    <w:p w:rsidR="00FC1F76" w:rsidRDefault="007B1DD5" w:rsidP="007B1DD5">
      <w:pPr>
        <w:pStyle w:val="Leipteksti"/>
      </w:pPr>
      <w:r>
        <w:t xml:space="preserve">Taulukoissa olevien laskelmien lisäksi </w:t>
      </w:r>
      <w:r w:rsidR="00C80C08">
        <w:t>on</w:t>
      </w:r>
      <w:r>
        <w:t xml:space="preserve"> analyysissa</w:t>
      </w:r>
      <w:r w:rsidR="00C80C08">
        <w:t xml:space="preserve"> tarkasteltu graafisesti eri ajankohtia koskevien ennusteiden kehitystä yli ajan. Liitteestä löytyy jokaise</w:t>
      </w:r>
      <w:r w:rsidR="00C80C08">
        <w:t>s</w:t>
      </w:r>
      <w:r w:rsidR="00C80C08">
        <w:t>ta muuttujasta laadittu kuvio, jossa näkyvät kaikki kyseistä muuttujaa koskevat ennusteet sekä muuttujan toteutunut arvo. Kuviosta voi seurata, minkälaista uraa pitkin ennusteet ovat tarkentuneet kohti toteutunutta arvoa.</w:t>
      </w:r>
    </w:p>
    <w:p w:rsidR="00994800" w:rsidRDefault="00994800" w:rsidP="007B1DD5">
      <w:pPr>
        <w:pStyle w:val="Leipteksti"/>
      </w:pPr>
    </w:p>
    <w:p w:rsidR="0054491A" w:rsidRDefault="00EA76DF" w:rsidP="00E94E24">
      <w:pPr>
        <w:pStyle w:val="Otsikko3"/>
      </w:pPr>
      <w:r>
        <w:lastRenderedPageBreak/>
        <w:t>Vaihtoehtoinen ennuste</w:t>
      </w:r>
    </w:p>
    <w:p w:rsidR="00C16C86" w:rsidRDefault="00EA76DF" w:rsidP="00EA76DF">
      <w:pPr>
        <w:pStyle w:val="Leipteksti"/>
      </w:pPr>
      <w:r>
        <w:t>Suhdanne-e</w:t>
      </w:r>
      <w:r w:rsidR="00E94E24">
        <w:t xml:space="preserve">nnusteiden osuvuuden arvioimisen helpottamiseksi on tehty myös </w:t>
      </w:r>
      <w:r>
        <w:t>vaihtoehtoinen aineisto, jossa ennusteet on laskettu mekaanisesti yksinkerta</w:t>
      </w:r>
      <w:r>
        <w:t>i</w:t>
      </w:r>
      <w:r>
        <w:t xml:space="preserve">sella kaavalla. Aineistossa </w:t>
      </w:r>
      <w:r w:rsidR="002B4BFA">
        <w:t xml:space="preserve">muuttujan tulevan kehityksen oletetaan vastaavan kolmen edellisen vuoden keskiarvoa. </w:t>
      </w:r>
      <w:r w:rsidR="00E94E24">
        <w:t xml:space="preserve">Toisin sanoen </w:t>
      </w:r>
      <w:r w:rsidR="002B4BFA">
        <w:t xml:space="preserve">vertailuennusteessa </w:t>
      </w:r>
      <w:r w:rsidR="00E94E24">
        <w:t>tiety</w:t>
      </w:r>
      <w:r w:rsidR="00E94E24">
        <w:t>l</w:t>
      </w:r>
      <w:r w:rsidR="00E94E24">
        <w:t xml:space="preserve">lä hetkellä tehdyt </w:t>
      </w:r>
      <w:r>
        <w:t xml:space="preserve">ennusteet muuttujan arvolle </w:t>
      </w:r>
      <w:r w:rsidR="00E94E24">
        <w:t>period</w:t>
      </w:r>
      <w:r>
        <w:t>eina</w:t>
      </w:r>
      <w:r w:rsidR="00E94E24">
        <w:t xml:space="preserve"> T, T +</w:t>
      </w:r>
      <w:r w:rsidR="00D36785">
        <w:t xml:space="preserve"> </w:t>
      </w:r>
      <w:r w:rsidR="00E94E24">
        <w:t>1 ja T + 2 ovat kaikki samoja ja vastaavat peri</w:t>
      </w:r>
      <w:r w:rsidR="002B4BFA">
        <w:t xml:space="preserve">odien T – 1, T – 2 ja T − </w:t>
      </w:r>
      <w:r w:rsidR="00E94E24">
        <w:t>3 keskiarvoa.</w:t>
      </w:r>
      <w:r w:rsidR="003C1A44">
        <w:t xml:space="preserve"> </w:t>
      </w:r>
      <w:r w:rsidR="00C16C86">
        <w:t>Ennu</w:t>
      </w:r>
      <w:r w:rsidR="00C16C86">
        <w:t>s</w:t>
      </w:r>
      <w:r w:rsidR="00C16C86">
        <w:t>teissa on hyödynnetty niitä tietoja, jotka olisivat aikanaan olleet saatavilla</w:t>
      </w:r>
      <w:r>
        <w:t xml:space="preserve"> e</w:t>
      </w:r>
      <w:r>
        <w:t>n</w:t>
      </w:r>
      <w:r>
        <w:t>nusteen tekemistä varten</w:t>
      </w:r>
      <w:r w:rsidR="00C16C86">
        <w:t xml:space="preserve"> eli palkkasummien, ansiotasoindeksin ja BKT:n osa</w:t>
      </w:r>
      <w:r w:rsidR="00C16C86">
        <w:t>l</w:t>
      </w:r>
      <w:r w:rsidR="00C16C86">
        <w:t>ta on käytetty osittain ennakollisia tietoja.</w:t>
      </w:r>
    </w:p>
    <w:p w:rsidR="00EA76DF" w:rsidRDefault="00EA76DF" w:rsidP="002B4BFA">
      <w:pPr>
        <w:pStyle w:val="Leipteksti"/>
      </w:pPr>
    </w:p>
    <w:p w:rsidR="00E94E24" w:rsidRDefault="003C1A44" w:rsidP="00EA76DF">
      <w:pPr>
        <w:pStyle w:val="Leipteksti"/>
      </w:pPr>
      <w:r>
        <w:t>Taulukkoon 3 on laskettu vastaavat tunnusluvut vertailuennusteelle hyödynt</w:t>
      </w:r>
      <w:r>
        <w:t>ä</w:t>
      </w:r>
      <w:r>
        <w:t>en koko aineisto</w:t>
      </w:r>
      <w:r w:rsidR="00D36785">
        <w:t>a</w:t>
      </w:r>
      <w:r>
        <w:t xml:space="preserve"> aikavälille 1998−2010.</w:t>
      </w:r>
      <w:r w:rsidR="00E94E24">
        <w:t xml:space="preserve"> </w:t>
      </w:r>
    </w:p>
    <w:p w:rsidR="0054491A" w:rsidRDefault="0054491A" w:rsidP="003C1A44">
      <w:pPr>
        <w:pStyle w:val="Leipteksti"/>
        <w:ind w:left="0"/>
      </w:pPr>
    </w:p>
    <w:p w:rsidR="0054491A" w:rsidRDefault="00E94E24" w:rsidP="00E94E24">
      <w:pPr>
        <w:pStyle w:val="Otsikko3"/>
      </w:pPr>
      <w:r>
        <w:t>Taulukko 3. Ennustevirheet (mekaaninen ennuste)</w:t>
      </w:r>
    </w:p>
    <w:p w:rsidR="0054491A" w:rsidRDefault="0054491A" w:rsidP="00E94E24"/>
    <w:p w:rsidR="00E94E24" w:rsidRDefault="00E94E24" w:rsidP="00E94E24">
      <w:r w:rsidRPr="00E94E24">
        <w:rPr>
          <w:noProof/>
          <w:lang w:val="en-US"/>
        </w:rPr>
        <w:drawing>
          <wp:inline distT="0" distB="0" distL="0" distR="0" wp14:anchorId="6067B437" wp14:editId="05799440">
            <wp:extent cx="6120000" cy="2197250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1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24" w:rsidRDefault="00E94E24" w:rsidP="00E94E24"/>
    <w:p w:rsidR="00E94E24" w:rsidRDefault="00E94E24" w:rsidP="002C5493">
      <w:pPr>
        <w:pStyle w:val="Leipteksti"/>
      </w:pPr>
    </w:p>
    <w:p w:rsidR="004B4F8F" w:rsidRDefault="003C1A44" w:rsidP="00125B1D">
      <w:pPr>
        <w:pStyle w:val="Leipteksti"/>
      </w:pPr>
      <w:r>
        <w:t>Selvästi</w:t>
      </w:r>
      <w:r w:rsidR="00C16C86">
        <w:t xml:space="preserve"> mekaanisesti lasketut liukuviin keskiarvoihin perustuvat ennu</w:t>
      </w:r>
      <w:r w:rsidR="007A3383">
        <w:t>steet ol</w:t>
      </w:r>
      <w:r w:rsidR="007A3383">
        <w:t>i</w:t>
      </w:r>
      <w:r w:rsidR="007A3383">
        <w:t>sivat olleet ratkaisevasti epäluotettavampia kuin todelliset ennusteet</w:t>
      </w:r>
      <w:r w:rsidR="00D36785">
        <w:t xml:space="preserve"> ovat o</w:t>
      </w:r>
      <w:r w:rsidR="00D36785">
        <w:t>l</w:t>
      </w:r>
      <w:r w:rsidR="00D36785">
        <w:t>leet</w:t>
      </w:r>
      <w:r w:rsidR="007A3383">
        <w:t xml:space="preserve">. </w:t>
      </w:r>
      <w:r w:rsidR="00E94E24">
        <w:t>Vertailun helpottamiseksi on Taulukkoon 4 laskettu</w:t>
      </w:r>
      <w:r w:rsidR="002C5493">
        <w:t xml:space="preserve"> mekaanisten </w:t>
      </w:r>
      <w:r w:rsidR="00125B1D">
        <w:t>verta</w:t>
      </w:r>
      <w:r w:rsidR="00125B1D">
        <w:t>i</w:t>
      </w:r>
      <w:r w:rsidR="00125B1D">
        <w:t>lu</w:t>
      </w:r>
      <w:r w:rsidR="002C5493">
        <w:t>ennusteiden (Taulukko 3) ja todellisten ennusteiden (Taulukko 1) tunnusl</w:t>
      </w:r>
      <w:r w:rsidR="002C5493">
        <w:t>u</w:t>
      </w:r>
      <w:r w:rsidR="002C5493">
        <w:t>kujen erotukset.</w:t>
      </w:r>
      <w:r w:rsidR="004B4F8F">
        <w:rPr>
          <w:rStyle w:val="Alaviitteenviite"/>
        </w:rPr>
        <w:footnoteReference w:id="5"/>
      </w:r>
      <w:r w:rsidR="004B4F8F" w:rsidRPr="004B4F8F">
        <w:t xml:space="preserve"> </w:t>
      </w:r>
      <w:r w:rsidR="00EA76DF">
        <w:t>Keväällä ja syksyllä tehdyt ennusteet on yhdistetty</w:t>
      </w:r>
      <w:r w:rsidR="004B4F8F">
        <w:t>.</w:t>
      </w:r>
    </w:p>
    <w:p w:rsidR="004B4F8F" w:rsidRDefault="004B4F8F" w:rsidP="004B4F8F">
      <w:pPr>
        <w:pStyle w:val="Leipteksti"/>
      </w:pPr>
    </w:p>
    <w:p w:rsidR="00E94E24" w:rsidRDefault="00E94E24" w:rsidP="002C5493">
      <w:pPr>
        <w:pStyle w:val="Leipteksti"/>
      </w:pPr>
    </w:p>
    <w:p w:rsidR="00E94E24" w:rsidRDefault="00E94E24" w:rsidP="0012755A">
      <w:pPr>
        <w:pStyle w:val="Leipteksti"/>
      </w:pPr>
    </w:p>
    <w:p w:rsidR="00D36785" w:rsidRDefault="00D36785" w:rsidP="0012755A">
      <w:pPr>
        <w:pStyle w:val="Leipteksti"/>
      </w:pPr>
    </w:p>
    <w:p w:rsidR="00D36785" w:rsidRDefault="00D36785" w:rsidP="0012755A">
      <w:pPr>
        <w:pStyle w:val="Leipteksti"/>
      </w:pPr>
    </w:p>
    <w:p w:rsidR="00E94E24" w:rsidRDefault="00E94E24" w:rsidP="00E94E24">
      <w:pPr>
        <w:pStyle w:val="Otsikko3"/>
      </w:pPr>
      <w:r>
        <w:lastRenderedPageBreak/>
        <w:t>Taulukko 4. Suhdanne-ennusteen ja mekaanisen ennusteen vertailu</w:t>
      </w:r>
    </w:p>
    <w:p w:rsidR="00E94E24" w:rsidRDefault="00E94E24" w:rsidP="00E94E24"/>
    <w:p w:rsidR="00E94E24" w:rsidRDefault="00E94E24" w:rsidP="00E94E24">
      <w:r w:rsidRPr="00E94E24">
        <w:rPr>
          <w:noProof/>
          <w:lang w:val="en-US"/>
        </w:rPr>
        <w:drawing>
          <wp:inline distT="0" distB="0" distL="0" distR="0" wp14:anchorId="5537F8B6" wp14:editId="5F4D3FD2">
            <wp:extent cx="6120000" cy="219725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1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24" w:rsidRDefault="00E94E24" w:rsidP="00E94E24"/>
    <w:p w:rsidR="00AC753B" w:rsidRDefault="00AC753B" w:rsidP="00D6520E">
      <w:pPr>
        <w:pStyle w:val="Leipteksti"/>
      </w:pPr>
    </w:p>
    <w:p w:rsidR="007A3383" w:rsidRDefault="00125B1D" w:rsidP="00D6520E">
      <w:pPr>
        <w:pStyle w:val="Leipteksti"/>
      </w:pPr>
      <w:r>
        <w:t>Erotusten tarkasteleminen</w:t>
      </w:r>
      <w:r w:rsidR="00AC753B">
        <w:t xml:space="preserve"> osoittaa, että mekaanisten ennusteiden tarkkuus</w:t>
      </w:r>
      <w:r>
        <w:t xml:space="preserve"> ol</w:t>
      </w:r>
      <w:r>
        <w:t>i</w:t>
      </w:r>
      <w:r>
        <w:t xml:space="preserve">si ollut </w:t>
      </w:r>
      <w:r w:rsidR="00AC753B">
        <w:t>kaikkien muuttujien osalta selvästi huonompi kuin varsinaisen suhda</w:t>
      </w:r>
      <w:r w:rsidR="00AC753B">
        <w:t>n</w:t>
      </w:r>
      <w:r w:rsidR="00AC753B">
        <w:t xml:space="preserve">ne-ennusteen. </w:t>
      </w:r>
      <w:r w:rsidR="007A3383">
        <w:t>Myös suurimmat yksittäiset virheet olisivat olleet isompia. Erot</w:t>
      </w:r>
      <w:r w:rsidR="00AC753B">
        <w:t xml:space="preserve"> ovat erityisen suuria lyhyellä aikavälillä eli kuluvaa vuotta koskevien ennu</w:t>
      </w:r>
      <w:r w:rsidR="00AC753B">
        <w:t>s</w:t>
      </w:r>
      <w:r w:rsidR="00AC753B">
        <w:t>teiden osalta.</w:t>
      </w:r>
    </w:p>
    <w:p w:rsidR="00D6520E" w:rsidRDefault="00D6520E" w:rsidP="00D6520E">
      <w:pPr>
        <w:pStyle w:val="Leipteksti"/>
      </w:pPr>
    </w:p>
    <w:p w:rsidR="00D6520E" w:rsidRDefault="00D6520E" w:rsidP="00D6520E">
      <w:pPr>
        <w:pStyle w:val="Leipteksti"/>
      </w:pPr>
      <w:r>
        <w:t>Työttömyysasteen osalta mekaaniset ennusteet ovat olleet selkeästi ylöspäin harhaisia, koska ne eivät huomioi työttömyysasteiden laskevaa trendiä. Myös palkkasummien ja BKT:n ennusteissa on merkkejä harhasta. Sen sijaan ansi</w:t>
      </w:r>
      <w:r>
        <w:t>o</w:t>
      </w:r>
      <w:r>
        <w:t>tasoindeksin ennusteet ovat harhattomuuden osalta menestyneet jopa pare</w:t>
      </w:r>
      <w:r>
        <w:t>m</w:t>
      </w:r>
      <w:r>
        <w:t>min kuin todelliset e</w:t>
      </w:r>
      <w:r w:rsidR="00125B1D">
        <w:t>nnusteet. Millään muulla mittarilla</w:t>
      </w:r>
      <w:r>
        <w:t xml:space="preserve"> tarkasteltuna eivät m</w:t>
      </w:r>
      <w:r>
        <w:t>e</w:t>
      </w:r>
      <w:r>
        <w:t xml:space="preserve">kaaniset ennusteet </w:t>
      </w:r>
      <w:r w:rsidR="00125B1D">
        <w:t xml:space="preserve">kuitenkaan </w:t>
      </w:r>
      <w:r>
        <w:t xml:space="preserve">pärjää vertailussa todellisille ennusteille. </w:t>
      </w:r>
    </w:p>
    <w:p w:rsidR="00E94E24" w:rsidRDefault="00E94E24" w:rsidP="00D6520E">
      <w:pPr>
        <w:pStyle w:val="Leipteksti"/>
      </w:pPr>
    </w:p>
    <w:p w:rsidR="00D35D5F" w:rsidRDefault="00D35D5F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Default="00125B1D" w:rsidP="00EE3EFD">
      <w:pPr>
        <w:pStyle w:val="Leipteksti"/>
      </w:pPr>
    </w:p>
    <w:p w:rsidR="00125B1D" w:rsidRPr="00EE3EFD" w:rsidRDefault="00125B1D" w:rsidP="00EE3EFD">
      <w:pPr>
        <w:pStyle w:val="Leipteksti"/>
      </w:pPr>
    </w:p>
    <w:p w:rsidR="00FC1F76" w:rsidRDefault="00FC1F76" w:rsidP="00FC1F76">
      <w:pPr>
        <w:pStyle w:val="Otsikko"/>
      </w:pPr>
    </w:p>
    <w:p w:rsidR="00C807F7" w:rsidRDefault="007B1DD5" w:rsidP="00FC1F76">
      <w:pPr>
        <w:pStyle w:val="Otsikko3"/>
      </w:pPr>
      <w:r>
        <w:lastRenderedPageBreak/>
        <w:t>LIITE</w:t>
      </w:r>
      <w:r w:rsidR="00C807F7">
        <w:t>.</w:t>
      </w:r>
      <w:r w:rsidR="00426B65">
        <w:t xml:space="preserve"> Suhdanne-ennusteiden tarkentuminen</w:t>
      </w:r>
    </w:p>
    <w:p w:rsidR="00426B65" w:rsidRDefault="00426B65" w:rsidP="008D2E4E">
      <w:pPr>
        <w:pStyle w:val="Leipteksti"/>
      </w:pPr>
    </w:p>
    <w:p w:rsidR="00976D5E" w:rsidRDefault="005C7967" w:rsidP="00976D5E">
      <w:pPr>
        <w:pStyle w:val="Leipteksti"/>
      </w:pPr>
      <w:r>
        <w:t>Kuvioissa on esitetty</w:t>
      </w:r>
      <w:r w:rsidR="008D2E4E">
        <w:t xml:space="preserve"> muuttujakohtaisesti ennusteiden kehitys yli ajan.</w:t>
      </w:r>
      <w:r w:rsidR="0033270D">
        <w:t xml:space="preserve"> Viivalla yhdistetyt pisteet ovat s</w:t>
      </w:r>
      <w:r w:rsidR="007B1DD5">
        <w:t>amaa vuotta koskevia ennusteita</w:t>
      </w:r>
      <w:r>
        <w:t xml:space="preserve"> ja pisteen sijainti va</w:t>
      </w:r>
      <w:r>
        <w:t>s</w:t>
      </w:r>
      <w:r>
        <w:t>taa ennusteen tekemisen ajankohtaa</w:t>
      </w:r>
      <w:r w:rsidR="007B1DD5">
        <w:t xml:space="preserve">. </w:t>
      </w:r>
      <w:r w:rsidR="008D2E4E">
        <w:t>Punainen piste on kyseistä ennustevuotta koskeva toteutunut tieto, jota kohden ennusteet pääsääntöisesti tarkentuvat.</w:t>
      </w:r>
      <w:r w:rsidR="00976D5E">
        <w:t xml:space="preserve"> Toteutunut tieto on päivätty vuoden viimeisellä päivälle eli se ei vastaa kyse</w:t>
      </w:r>
      <w:r w:rsidR="00976D5E">
        <w:t>i</w:t>
      </w:r>
      <w:r w:rsidR="00976D5E">
        <w:t>sen tiedon</w:t>
      </w:r>
      <w:r w:rsidR="00D36785">
        <w:t xml:space="preserve"> lähteenä toimiva</w:t>
      </w:r>
      <w:r w:rsidR="00B81581">
        <w:t>n</w:t>
      </w:r>
      <w:r w:rsidR="00D36785">
        <w:t xml:space="preserve"> tilaston</w:t>
      </w:r>
      <w:r w:rsidR="00976D5E">
        <w:t xml:space="preserve"> ilmestymisajankohtaa. </w:t>
      </w:r>
    </w:p>
    <w:p w:rsidR="00B57B24" w:rsidRDefault="00B57B24" w:rsidP="00125B1D">
      <w:pPr>
        <w:pStyle w:val="Leipteksti"/>
        <w:ind w:left="0"/>
      </w:pPr>
    </w:p>
    <w:p w:rsidR="00B57B24" w:rsidRDefault="00B57B24" w:rsidP="008D2E4E">
      <w:pPr>
        <w:pStyle w:val="Leipteksti"/>
      </w:pPr>
    </w:p>
    <w:p w:rsidR="00426B65" w:rsidRDefault="00426B65" w:rsidP="008D2E4E">
      <w:pPr>
        <w:pStyle w:val="Leipteksti"/>
      </w:pPr>
    </w:p>
    <w:p w:rsidR="00FC1F76" w:rsidRDefault="00C807F7" w:rsidP="00FC1F76">
      <w:pPr>
        <w:pStyle w:val="Otsikko3"/>
      </w:pPr>
      <w:r>
        <w:t>Kuvio 1. In</w:t>
      </w:r>
      <w:r w:rsidR="00426B65">
        <w:t>flaatioennusteet</w:t>
      </w:r>
    </w:p>
    <w:p w:rsidR="00FC1F76" w:rsidRDefault="00FC1F76" w:rsidP="00FC1F76"/>
    <w:p w:rsidR="00426B65" w:rsidRDefault="00F97E47" w:rsidP="00426B65">
      <w:r>
        <w:rPr>
          <w:noProof/>
          <w:lang w:val="en-US"/>
        </w:rPr>
        <w:drawing>
          <wp:inline distT="0" distB="0" distL="0" distR="0" wp14:anchorId="4AF4C922">
            <wp:extent cx="6120000" cy="3476052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76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426B65" w:rsidP="00426B65"/>
    <w:p w:rsidR="00426B65" w:rsidRDefault="00170C12" w:rsidP="008D2E4E">
      <w:pPr>
        <w:pStyle w:val="Otsikko3"/>
        <w:spacing w:line="360" w:lineRule="auto"/>
      </w:pPr>
      <w:r>
        <w:lastRenderedPageBreak/>
        <w:t xml:space="preserve">Kuvio 2. </w:t>
      </w:r>
      <w:r w:rsidR="00C807F7">
        <w:t>An</w:t>
      </w:r>
      <w:r w:rsidR="00426B65">
        <w:t>siotasoennusteet</w:t>
      </w:r>
    </w:p>
    <w:p w:rsidR="00426B65" w:rsidRDefault="00140B93" w:rsidP="00426B65">
      <w:r>
        <w:rPr>
          <w:noProof/>
          <w:lang w:val="en-US"/>
        </w:rPr>
        <w:drawing>
          <wp:inline distT="0" distB="0" distL="0" distR="0" wp14:anchorId="45651E49">
            <wp:extent cx="6120000" cy="3476053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76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B65" w:rsidRDefault="00426B65" w:rsidP="00426B65"/>
    <w:p w:rsidR="001A7548" w:rsidRDefault="001A7548" w:rsidP="00426B65"/>
    <w:p w:rsidR="00426B65" w:rsidRPr="00426B65" w:rsidRDefault="00170C12" w:rsidP="008D2E4E">
      <w:pPr>
        <w:pStyle w:val="Otsikko3"/>
        <w:spacing w:line="360" w:lineRule="auto"/>
      </w:pPr>
      <w:r>
        <w:t>Ku</w:t>
      </w:r>
      <w:r w:rsidR="00C807F7">
        <w:t>vio 3. Työttömyysaste-</w:t>
      </w:r>
      <w:r w:rsidR="00426B65">
        <w:t>ennusteet</w:t>
      </w:r>
    </w:p>
    <w:p w:rsidR="00426B65" w:rsidRDefault="00D612BA" w:rsidP="00426B65">
      <w:r>
        <w:rPr>
          <w:noProof/>
          <w:lang w:val="en-US"/>
        </w:rPr>
        <w:drawing>
          <wp:inline distT="0" distB="0" distL="0" distR="0" wp14:anchorId="337767F0">
            <wp:extent cx="6120000" cy="3474488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7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12" w:rsidRDefault="00C807F7" w:rsidP="008D2E4E">
      <w:pPr>
        <w:pStyle w:val="Otsikko3"/>
        <w:spacing w:line="360" w:lineRule="auto"/>
      </w:pPr>
      <w:r>
        <w:lastRenderedPageBreak/>
        <w:t>Kuvio 4. Palk</w:t>
      </w:r>
      <w:r w:rsidR="00426B65">
        <w:t>kasummaennusteet</w:t>
      </w:r>
    </w:p>
    <w:p w:rsidR="00170C12" w:rsidRDefault="00D612BA" w:rsidP="00170C12">
      <w:r>
        <w:rPr>
          <w:noProof/>
          <w:lang w:val="en-US"/>
        </w:rPr>
        <w:drawing>
          <wp:inline distT="0" distB="0" distL="0" distR="0" wp14:anchorId="643B0D6F">
            <wp:extent cx="6120000" cy="3476045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B65" w:rsidRDefault="00426B65" w:rsidP="00F43B18">
      <w:pPr>
        <w:pStyle w:val="Otsikko3"/>
      </w:pPr>
    </w:p>
    <w:p w:rsidR="00170C12" w:rsidRDefault="00C807F7" w:rsidP="008D2E4E">
      <w:pPr>
        <w:pStyle w:val="Otsikko3"/>
        <w:spacing w:line="360" w:lineRule="auto"/>
      </w:pPr>
      <w:r>
        <w:t xml:space="preserve">Kuvio 5. </w:t>
      </w:r>
      <w:r w:rsidR="00426B65">
        <w:t>BKT-ennusteet</w:t>
      </w:r>
    </w:p>
    <w:p w:rsidR="00FC1F76" w:rsidRDefault="00D612BA" w:rsidP="00FC1F76">
      <w:r>
        <w:rPr>
          <w:noProof/>
          <w:lang w:val="en-US"/>
        </w:rPr>
        <w:drawing>
          <wp:inline distT="0" distB="0" distL="0" distR="0" wp14:anchorId="2AC862F1">
            <wp:extent cx="6120000" cy="3476535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7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1F76" w:rsidSect="00DF23B4">
      <w:headerReference w:type="default" r:id="rId18"/>
      <w:pgSz w:w="11906" w:h="16838" w:code="9"/>
      <w:pgMar w:top="567" w:right="567" w:bottom="1418" w:left="1134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A7" w:rsidRDefault="00370EA7">
      <w:r>
        <w:separator/>
      </w:r>
    </w:p>
  </w:endnote>
  <w:endnote w:type="continuationSeparator" w:id="0">
    <w:p w:rsidR="00370EA7" w:rsidRDefault="003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A7" w:rsidRDefault="00370EA7">
      <w:r>
        <w:separator/>
      </w:r>
    </w:p>
  </w:footnote>
  <w:footnote w:type="continuationSeparator" w:id="0">
    <w:p w:rsidR="00370EA7" w:rsidRDefault="00370EA7">
      <w:r>
        <w:continuationSeparator/>
      </w:r>
    </w:p>
  </w:footnote>
  <w:footnote w:id="1">
    <w:p w:rsidR="00C42A62" w:rsidRDefault="00C42A62">
      <w:pPr>
        <w:pStyle w:val="Alaviitteenteksti"/>
      </w:pPr>
      <w:r>
        <w:rPr>
          <w:rStyle w:val="Alaviitteenviite"/>
        </w:rPr>
        <w:footnoteRef/>
      </w:r>
      <w:r>
        <w:t xml:space="preserve"> Aineistossa työttömyysa</w:t>
      </w:r>
      <w:r w:rsidR="00D36785">
        <w:t xml:space="preserve">steen määritelmä muuttui </w:t>
      </w:r>
      <w:r>
        <w:t>syksyllä 2011, kun KT-ennusteessa s</w:t>
      </w:r>
      <w:r w:rsidR="00B81581">
        <w:t xml:space="preserve">iirryttiin ennustamaan </w:t>
      </w:r>
      <w:r>
        <w:t>15–64-vuotiaiden työttömyysastetta. Ero yleisemmin käytettyyn 15–74-vuotiaiden työttömyysasteeseen ei ole suuri, mutta jälkimmä</w:t>
      </w:r>
      <w:r>
        <w:t>i</w:t>
      </w:r>
      <w:r>
        <w:t>nen on hieman matalampi, koska yli 64-vuotiaissa on lähinnä työllisiä, ei työttömiä.</w:t>
      </w:r>
    </w:p>
  </w:footnote>
  <w:footnote w:id="2">
    <w:p w:rsidR="00C42A62" w:rsidRDefault="00C42A62">
      <w:pPr>
        <w:pStyle w:val="Alaviitteenteksti"/>
      </w:pPr>
      <w:r>
        <w:rPr>
          <w:rStyle w:val="Alaviitteenviite"/>
        </w:rPr>
        <w:footnoteRef/>
      </w:r>
      <w:r>
        <w:t xml:space="preserve"> Aikavälillä 2003−2011 heinäkuun julkistuksen ja lopullisen tiedon ero on vaihdellut välillä 0−0,8 %-yksikköä, keskiarvon ollessa noin 0,4 %-yksikköä. Tavanomaisemman suhdannekehityksen vallitessa revisiot tuskin olisivat näinkään suuria.</w:t>
      </w:r>
    </w:p>
  </w:footnote>
  <w:footnote w:id="3">
    <w:p w:rsidR="00C42A62" w:rsidRDefault="00C42A62">
      <w:pPr>
        <w:pStyle w:val="Alaviitteenteksti"/>
      </w:pPr>
      <w:r>
        <w:rPr>
          <w:rStyle w:val="Alaviitteenviite"/>
        </w:rPr>
        <w:footnoteRef/>
      </w:r>
      <w:r>
        <w:t xml:space="preserve"> Tunnuslukuja laskettaessa ei ole otettu huomioon ennustettavan muuttujan tyypillisen vaihtelun määrää, eikä muutosten ty</w:t>
      </w:r>
      <w:r>
        <w:t>y</w:t>
      </w:r>
      <w:r>
        <w:t>pillistä suuruusluokkaa. On selvää, että nekin vaikuttavat virheiden kokoluokan arvioimiseen.</w:t>
      </w:r>
    </w:p>
  </w:footnote>
  <w:footnote w:id="4">
    <w:p w:rsidR="00C42A62" w:rsidRDefault="00C42A62">
      <w:pPr>
        <w:pStyle w:val="Alaviitteenteksti"/>
      </w:pPr>
      <w:r>
        <w:rPr>
          <w:rStyle w:val="Alaviitteenviite"/>
        </w:rPr>
        <w:footnoteRef/>
      </w:r>
      <w:r>
        <w:t xml:space="preserve"> Toisin sanoen aineistosta on poistettu kaikki ennusteet väliltä 2006: T + 2 – 2010: T.</w:t>
      </w:r>
    </w:p>
  </w:footnote>
  <w:footnote w:id="5">
    <w:p w:rsidR="00C42A62" w:rsidRDefault="00C42A62">
      <w:pPr>
        <w:pStyle w:val="Alaviitteenteksti"/>
      </w:pPr>
      <w:r>
        <w:rPr>
          <w:rStyle w:val="Alaviitteenviite"/>
        </w:rPr>
        <w:footnoteRef/>
      </w:r>
      <w:r>
        <w:t xml:space="preserve"> Harhattomuuden vertailussa on käytetty ennustevirheiden keskiarvojen itseisarvojen erotuksia.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62" w:rsidRPr="00F46BBC" w:rsidRDefault="00C42A62" w:rsidP="000B63D6">
    <w:pPr>
      <w:tabs>
        <w:tab w:val="left" w:pos="4536"/>
        <w:tab w:val="left" w:pos="7088"/>
        <w:tab w:val="right" w:pos="9639"/>
      </w:tabs>
      <w:rPr>
        <w:rStyle w:val="Sivunumero"/>
        <w:rFonts w:ascii="Times New Roman" w:hAnsi="Times New Roman"/>
        <w:szCs w:val="22"/>
      </w:rPr>
    </w:pPr>
    <w:r w:rsidRPr="00F46BBC">
      <w:rPr>
        <w:b/>
        <w:sz w:val="22"/>
        <w:szCs w:val="22"/>
      </w:rPr>
      <w:t>Eläketurvakeskus</w:t>
    </w:r>
    <w:r w:rsidRPr="00F46BBC">
      <w:rPr>
        <w:sz w:val="22"/>
        <w:szCs w:val="22"/>
      </w:rPr>
      <w:tab/>
    </w:r>
    <w:r>
      <w:rPr>
        <w:b/>
        <w:sz w:val="22"/>
        <w:szCs w:val="22"/>
      </w:rPr>
      <w:t>Muistio</w:t>
    </w:r>
    <w:r w:rsidRPr="00F46BBC">
      <w:rPr>
        <w:b/>
        <w:sz w:val="22"/>
        <w:szCs w:val="22"/>
      </w:rPr>
      <w:t xml:space="preserve"> </w:t>
    </w:r>
    <w:r w:rsidRPr="00F46BBC">
      <w:rPr>
        <w:sz w:val="22"/>
        <w:szCs w:val="22"/>
      </w:rPr>
      <w:tab/>
    </w:r>
    <w:r w:rsidRPr="00F46BBC">
      <w:rPr>
        <w:sz w:val="22"/>
        <w:szCs w:val="22"/>
      </w:rPr>
      <w:tab/>
    </w:r>
    <w:r w:rsidRPr="00F46BBC">
      <w:rPr>
        <w:rStyle w:val="Sivunumero"/>
        <w:rFonts w:ascii="Times New Roman" w:hAnsi="Times New Roman"/>
        <w:szCs w:val="22"/>
      </w:rPr>
      <w:fldChar w:fldCharType="begin"/>
    </w:r>
    <w:r w:rsidRPr="00F46BBC">
      <w:rPr>
        <w:rStyle w:val="Sivunumero"/>
        <w:rFonts w:ascii="Times New Roman" w:hAnsi="Times New Roman"/>
        <w:szCs w:val="22"/>
      </w:rPr>
      <w:instrText xml:space="preserve"> PAGE </w:instrText>
    </w:r>
    <w:r w:rsidRPr="00F46BBC">
      <w:rPr>
        <w:rStyle w:val="Sivunumero"/>
        <w:rFonts w:ascii="Times New Roman" w:hAnsi="Times New Roman"/>
        <w:szCs w:val="22"/>
      </w:rPr>
      <w:fldChar w:fldCharType="separate"/>
    </w:r>
    <w:r w:rsidR="00397536">
      <w:rPr>
        <w:rStyle w:val="Sivunumero"/>
        <w:rFonts w:ascii="Times New Roman" w:hAnsi="Times New Roman"/>
        <w:noProof/>
        <w:szCs w:val="22"/>
      </w:rPr>
      <w:t>1</w:t>
    </w:r>
    <w:r w:rsidRPr="00F46BBC">
      <w:rPr>
        <w:rStyle w:val="Sivunumero"/>
        <w:rFonts w:ascii="Times New Roman" w:hAnsi="Times New Roman"/>
        <w:szCs w:val="22"/>
      </w:rPr>
      <w:fldChar w:fldCharType="end"/>
    </w:r>
    <w:r w:rsidRPr="00F46BBC">
      <w:rPr>
        <w:rStyle w:val="Sivunumero"/>
        <w:rFonts w:ascii="Times New Roman" w:hAnsi="Times New Roman"/>
        <w:szCs w:val="22"/>
      </w:rPr>
      <w:t xml:space="preserve"> (</w:t>
    </w:r>
    <w:r w:rsidRPr="00F46BBC">
      <w:rPr>
        <w:rStyle w:val="Sivunumero"/>
        <w:rFonts w:ascii="Times New Roman" w:hAnsi="Times New Roman"/>
        <w:szCs w:val="22"/>
      </w:rPr>
      <w:fldChar w:fldCharType="begin"/>
    </w:r>
    <w:r w:rsidRPr="00F46BBC">
      <w:rPr>
        <w:rStyle w:val="Sivunumero"/>
        <w:rFonts w:ascii="Times New Roman" w:hAnsi="Times New Roman"/>
        <w:szCs w:val="22"/>
      </w:rPr>
      <w:instrText xml:space="preserve"> NUMPAGES </w:instrText>
    </w:r>
    <w:r w:rsidRPr="00F46BBC">
      <w:rPr>
        <w:rStyle w:val="Sivunumero"/>
        <w:rFonts w:ascii="Times New Roman" w:hAnsi="Times New Roman"/>
        <w:szCs w:val="22"/>
      </w:rPr>
      <w:fldChar w:fldCharType="separate"/>
    </w:r>
    <w:r w:rsidR="00397536">
      <w:rPr>
        <w:rStyle w:val="Sivunumero"/>
        <w:rFonts w:ascii="Times New Roman" w:hAnsi="Times New Roman"/>
        <w:noProof/>
        <w:szCs w:val="22"/>
      </w:rPr>
      <w:t>11</w:t>
    </w:r>
    <w:r w:rsidRPr="00F46BBC">
      <w:rPr>
        <w:rStyle w:val="Sivunumero"/>
        <w:rFonts w:ascii="Times New Roman" w:hAnsi="Times New Roman"/>
        <w:szCs w:val="22"/>
      </w:rPr>
      <w:fldChar w:fldCharType="end"/>
    </w:r>
    <w:r w:rsidRPr="00F46BBC">
      <w:rPr>
        <w:rStyle w:val="Sivunumero"/>
        <w:rFonts w:ascii="Times New Roman" w:hAnsi="Times New Roman"/>
        <w:szCs w:val="22"/>
      </w:rPr>
      <w:t>)</w:t>
    </w:r>
  </w:p>
  <w:p w:rsidR="00C42A62" w:rsidRPr="00F46BBC" w:rsidRDefault="00C42A62" w:rsidP="000B63D6">
    <w:pPr>
      <w:tabs>
        <w:tab w:val="left" w:pos="4536"/>
        <w:tab w:val="left" w:pos="7088"/>
        <w:tab w:val="right" w:pos="9639"/>
      </w:tabs>
      <w:rPr>
        <w:rStyle w:val="Sivunumero"/>
        <w:rFonts w:ascii="Times New Roman" w:hAnsi="Times New Roman"/>
        <w:szCs w:val="22"/>
      </w:rPr>
    </w:pPr>
  </w:p>
  <w:p w:rsidR="00C42A62" w:rsidRPr="00F46BBC" w:rsidRDefault="00C42A62" w:rsidP="000B63D6">
    <w:pPr>
      <w:pStyle w:val="Yltunniste"/>
      <w:tabs>
        <w:tab w:val="clear" w:pos="4819"/>
        <w:tab w:val="clear" w:pos="9638"/>
        <w:tab w:val="left" w:pos="4536"/>
        <w:tab w:val="left" w:pos="7088"/>
        <w:tab w:val="right" w:pos="9639"/>
      </w:tabs>
      <w:rPr>
        <w:rStyle w:val="Sivunumero"/>
        <w:rFonts w:ascii="Times New Roman" w:hAnsi="Times New Roman"/>
        <w:szCs w:val="22"/>
      </w:rPr>
    </w:pPr>
  </w:p>
  <w:p w:rsidR="00C42A62" w:rsidRPr="00F46BBC" w:rsidRDefault="00C42A62" w:rsidP="000B63D6">
    <w:pPr>
      <w:pStyle w:val="Yltunniste"/>
      <w:tabs>
        <w:tab w:val="clear" w:pos="4819"/>
        <w:tab w:val="clear" w:pos="9638"/>
        <w:tab w:val="left" w:pos="4536"/>
        <w:tab w:val="left" w:pos="7088"/>
        <w:tab w:val="right" w:pos="9639"/>
      </w:tabs>
      <w:rPr>
        <w:sz w:val="22"/>
        <w:szCs w:val="22"/>
      </w:rPr>
    </w:pPr>
    <w:r>
      <w:rPr>
        <w:sz w:val="22"/>
        <w:szCs w:val="22"/>
      </w:rPr>
      <w:t xml:space="preserve">SU </w:t>
    </w:r>
    <w:r w:rsidRPr="00F46BBC">
      <w:rPr>
        <w:sz w:val="22"/>
        <w:szCs w:val="22"/>
      </w:rPr>
      <w:t>/</w:t>
    </w:r>
    <w:r>
      <w:rPr>
        <w:sz w:val="22"/>
        <w:szCs w:val="22"/>
      </w:rPr>
      <w:t xml:space="preserve"> Jukka Appelqvist</w:t>
    </w:r>
    <w:r w:rsidRPr="00F46BBC">
      <w:rPr>
        <w:sz w:val="22"/>
        <w:szCs w:val="22"/>
      </w:rPr>
      <w:tab/>
    </w:r>
    <w:sdt>
      <w:sdtPr>
        <w:rPr>
          <w:sz w:val="22"/>
          <w:szCs w:val="22"/>
        </w:rPr>
        <w:alias w:val="Päiväys"/>
        <w:tag w:val="Pvä"/>
        <w:id w:val="1245758572"/>
        <w:date w:fullDate="2013-06-20T00:00:00Z">
          <w:dateFormat w:val="d.M.yyyy"/>
          <w:lid w:val="fi-FI"/>
          <w:storeMappedDataAs w:val="dateTime"/>
          <w:calendar w:val="gregorian"/>
        </w:date>
      </w:sdtPr>
      <w:sdtEndPr/>
      <w:sdtContent>
        <w:r>
          <w:rPr>
            <w:sz w:val="22"/>
            <w:szCs w:val="22"/>
          </w:rPr>
          <w:t>20.6.2013</w:t>
        </w:r>
      </w:sdtContent>
    </w:sdt>
  </w:p>
  <w:p w:rsidR="00C42A62" w:rsidRPr="00F46BBC" w:rsidRDefault="00C42A62" w:rsidP="000B63D6">
    <w:pPr>
      <w:tabs>
        <w:tab w:val="left" w:pos="4536"/>
        <w:tab w:val="left" w:pos="7088"/>
        <w:tab w:val="right" w:pos="9639"/>
      </w:tabs>
      <w:rPr>
        <w:sz w:val="22"/>
        <w:szCs w:val="22"/>
      </w:rPr>
    </w:pPr>
  </w:p>
  <w:p w:rsidR="00C42A62" w:rsidRPr="00F46BBC" w:rsidRDefault="00C42A62" w:rsidP="000B63D6">
    <w:pPr>
      <w:tabs>
        <w:tab w:val="left" w:pos="4536"/>
        <w:tab w:val="left" w:pos="7088"/>
        <w:tab w:val="right" w:pos="9639"/>
      </w:tabs>
      <w:rPr>
        <w:sz w:val="22"/>
        <w:szCs w:val="22"/>
      </w:rPr>
    </w:pPr>
  </w:p>
  <w:p w:rsidR="00C42A62" w:rsidRPr="00F46BBC" w:rsidRDefault="00C42A62" w:rsidP="000B63D6">
    <w:pPr>
      <w:tabs>
        <w:tab w:val="left" w:pos="4536"/>
        <w:tab w:val="left" w:pos="7088"/>
        <w:tab w:val="right" w:pos="9639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B00"/>
    <w:multiLevelType w:val="hybridMultilevel"/>
    <w:tmpl w:val="F6D26410"/>
    <w:lvl w:ilvl="0" w:tplc="2BB298A2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>
    <w:nsid w:val="20825734"/>
    <w:multiLevelType w:val="multilevel"/>
    <w:tmpl w:val="D8A01D9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44983BC6"/>
    <w:multiLevelType w:val="hybridMultilevel"/>
    <w:tmpl w:val="2CC2640E"/>
    <w:lvl w:ilvl="0" w:tplc="053AFED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4A990A51"/>
    <w:multiLevelType w:val="multilevel"/>
    <w:tmpl w:val="B0FE87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>
    <w:nsid w:val="7A957A46"/>
    <w:multiLevelType w:val="hybridMultilevel"/>
    <w:tmpl w:val="82E048F6"/>
    <w:lvl w:ilvl="0" w:tplc="040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2B1A1140">
      <w:start w:val="1"/>
      <w:numFmt w:val="bullet"/>
      <w:pStyle w:val="Luettelokappale"/>
      <w:lvlText w:val=""/>
      <w:lvlJc w:val="left"/>
      <w:pPr>
        <w:ind w:left="4768" w:hanging="360"/>
      </w:pPr>
      <w:rPr>
        <w:rFonts w:ascii="Symbol" w:hAnsi="Symbol" w:hint="default"/>
      </w:rPr>
    </w:lvl>
    <w:lvl w:ilvl="3" w:tplc="68A6FF28">
      <w:start w:val="1"/>
      <w:numFmt w:val="bullet"/>
      <w:pStyle w:val="Luettelokappale2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0"/>
    <w:rsid w:val="00035380"/>
    <w:rsid w:val="00061DB6"/>
    <w:rsid w:val="000879BF"/>
    <w:rsid w:val="0009058A"/>
    <w:rsid w:val="000A0000"/>
    <w:rsid w:val="000B63D6"/>
    <w:rsid w:val="000C4F9A"/>
    <w:rsid w:val="000E6536"/>
    <w:rsid w:val="000F7A32"/>
    <w:rsid w:val="00101B47"/>
    <w:rsid w:val="00101EB7"/>
    <w:rsid w:val="0011174F"/>
    <w:rsid w:val="00125B1D"/>
    <w:rsid w:val="0012755A"/>
    <w:rsid w:val="00130954"/>
    <w:rsid w:val="00140B93"/>
    <w:rsid w:val="001669DA"/>
    <w:rsid w:val="00170C12"/>
    <w:rsid w:val="001827BC"/>
    <w:rsid w:val="001A7548"/>
    <w:rsid w:val="001C1170"/>
    <w:rsid w:val="001D6E92"/>
    <w:rsid w:val="001D7E12"/>
    <w:rsid w:val="001F74EA"/>
    <w:rsid w:val="002301A4"/>
    <w:rsid w:val="00241D89"/>
    <w:rsid w:val="002468C7"/>
    <w:rsid w:val="0029354B"/>
    <w:rsid w:val="002A4399"/>
    <w:rsid w:val="002B4BFA"/>
    <w:rsid w:val="002B640A"/>
    <w:rsid w:val="002C4829"/>
    <w:rsid w:val="002C5493"/>
    <w:rsid w:val="002E3036"/>
    <w:rsid w:val="0033270D"/>
    <w:rsid w:val="00333F03"/>
    <w:rsid w:val="00370EA7"/>
    <w:rsid w:val="00374715"/>
    <w:rsid w:val="00393F2C"/>
    <w:rsid w:val="00397536"/>
    <w:rsid w:val="003B014E"/>
    <w:rsid w:val="003C1A44"/>
    <w:rsid w:val="003D5EC2"/>
    <w:rsid w:val="003F19DA"/>
    <w:rsid w:val="003F49AC"/>
    <w:rsid w:val="004155B6"/>
    <w:rsid w:val="00426B65"/>
    <w:rsid w:val="00452FE7"/>
    <w:rsid w:val="00455F2C"/>
    <w:rsid w:val="00480E05"/>
    <w:rsid w:val="004B4F8F"/>
    <w:rsid w:val="004D1E63"/>
    <w:rsid w:val="004F5421"/>
    <w:rsid w:val="00507B22"/>
    <w:rsid w:val="00511F16"/>
    <w:rsid w:val="00515C9B"/>
    <w:rsid w:val="0052108E"/>
    <w:rsid w:val="005239B6"/>
    <w:rsid w:val="00532302"/>
    <w:rsid w:val="00535F2F"/>
    <w:rsid w:val="0054491A"/>
    <w:rsid w:val="005650DA"/>
    <w:rsid w:val="00567B0B"/>
    <w:rsid w:val="00586E38"/>
    <w:rsid w:val="005C7967"/>
    <w:rsid w:val="005F7880"/>
    <w:rsid w:val="00670443"/>
    <w:rsid w:val="006950B4"/>
    <w:rsid w:val="006C6C0D"/>
    <w:rsid w:val="006D2A2E"/>
    <w:rsid w:val="006E4B20"/>
    <w:rsid w:val="00721129"/>
    <w:rsid w:val="00726BAD"/>
    <w:rsid w:val="00732A42"/>
    <w:rsid w:val="00735782"/>
    <w:rsid w:val="007450DA"/>
    <w:rsid w:val="007631E3"/>
    <w:rsid w:val="007A3383"/>
    <w:rsid w:val="007B1DD5"/>
    <w:rsid w:val="007C538D"/>
    <w:rsid w:val="007D2F9E"/>
    <w:rsid w:val="007F2529"/>
    <w:rsid w:val="0083170D"/>
    <w:rsid w:val="008470F8"/>
    <w:rsid w:val="008554C6"/>
    <w:rsid w:val="008A5363"/>
    <w:rsid w:val="008D2E4E"/>
    <w:rsid w:val="008F1042"/>
    <w:rsid w:val="008F270A"/>
    <w:rsid w:val="00903298"/>
    <w:rsid w:val="009140F5"/>
    <w:rsid w:val="00940994"/>
    <w:rsid w:val="00961633"/>
    <w:rsid w:val="0096737A"/>
    <w:rsid w:val="00976D5E"/>
    <w:rsid w:val="00981C74"/>
    <w:rsid w:val="00990118"/>
    <w:rsid w:val="00994800"/>
    <w:rsid w:val="009A0CBE"/>
    <w:rsid w:val="009B2758"/>
    <w:rsid w:val="009E4D2F"/>
    <w:rsid w:val="009E5DDF"/>
    <w:rsid w:val="00A9132C"/>
    <w:rsid w:val="00AA4DE4"/>
    <w:rsid w:val="00AB6AEE"/>
    <w:rsid w:val="00AC2FBB"/>
    <w:rsid w:val="00AC753B"/>
    <w:rsid w:val="00AD484C"/>
    <w:rsid w:val="00AF0D4E"/>
    <w:rsid w:val="00B11205"/>
    <w:rsid w:val="00B24763"/>
    <w:rsid w:val="00B25270"/>
    <w:rsid w:val="00B253BD"/>
    <w:rsid w:val="00B254DD"/>
    <w:rsid w:val="00B54232"/>
    <w:rsid w:val="00B57B24"/>
    <w:rsid w:val="00B73CD2"/>
    <w:rsid w:val="00B75FA8"/>
    <w:rsid w:val="00B81581"/>
    <w:rsid w:val="00B820EC"/>
    <w:rsid w:val="00BC2E53"/>
    <w:rsid w:val="00BD0743"/>
    <w:rsid w:val="00BE7D91"/>
    <w:rsid w:val="00C07B71"/>
    <w:rsid w:val="00C16C86"/>
    <w:rsid w:val="00C20E6C"/>
    <w:rsid w:val="00C42A62"/>
    <w:rsid w:val="00C54F18"/>
    <w:rsid w:val="00C75493"/>
    <w:rsid w:val="00C807F7"/>
    <w:rsid w:val="00C80C08"/>
    <w:rsid w:val="00CA604A"/>
    <w:rsid w:val="00CC6844"/>
    <w:rsid w:val="00CD5263"/>
    <w:rsid w:val="00CE5360"/>
    <w:rsid w:val="00CF71C1"/>
    <w:rsid w:val="00D24CCF"/>
    <w:rsid w:val="00D35D5F"/>
    <w:rsid w:val="00D36785"/>
    <w:rsid w:val="00D435EC"/>
    <w:rsid w:val="00D53AA7"/>
    <w:rsid w:val="00D612BA"/>
    <w:rsid w:val="00D6520E"/>
    <w:rsid w:val="00D77178"/>
    <w:rsid w:val="00D8306A"/>
    <w:rsid w:val="00D84AEB"/>
    <w:rsid w:val="00D85CE9"/>
    <w:rsid w:val="00DA7798"/>
    <w:rsid w:val="00DB1F26"/>
    <w:rsid w:val="00DF23B4"/>
    <w:rsid w:val="00E22894"/>
    <w:rsid w:val="00E32E6A"/>
    <w:rsid w:val="00E34121"/>
    <w:rsid w:val="00E40EB8"/>
    <w:rsid w:val="00E4263A"/>
    <w:rsid w:val="00E42D0C"/>
    <w:rsid w:val="00E51BBB"/>
    <w:rsid w:val="00E558B9"/>
    <w:rsid w:val="00E605DB"/>
    <w:rsid w:val="00E725FB"/>
    <w:rsid w:val="00E8590B"/>
    <w:rsid w:val="00E87C5A"/>
    <w:rsid w:val="00E94E10"/>
    <w:rsid w:val="00E94E24"/>
    <w:rsid w:val="00EA76DF"/>
    <w:rsid w:val="00EE2598"/>
    <w:rsid w:val="00EE3794"/>
    <w:rsid w:val="00EE3EFD"/>
    <w:rsid w:val="00EF712C"/>
    <w:rsid w:val="00F1784F"/>
    <w:rsid w:val="00F43B18"/>
    <w:rsid w:val="00F46BBC"/>
    <w:rsid w:val="00F60A10"/>
    <w:rsid w:val="00F912CE"/>
    <w:rsid w:val="00F93AAE"/>
    <w:rsid w:val="00F97E47"/>
    <w:rsid w:val="00FB6101"/>
    <w:rsid w:val="00FC1F76"/>
    <w:rsid w:val="00FE214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42D0C"/>
    <w:rPr>
      <w:sz w:val="24"/>
      <w:lang w:eastAsia="en-US"/>
    </w:rPr>
  </w:style>
  <w:style w:type="paragraph" w:styleId="Otsikko1">
    <w:name w:val="heading 1"/>
    <w:basedOn w:val="Normaali"/>
    <w:next w:val="Leipteksti"/>
    <w:qFormat/>
    <w:rsid w:val="00E42D0C"/>
    <w:pPr>
      <w:keepNext/>
      <w:tabs>
        <w:tab w:val="left" w:pos="964"/>
      </w:tabs>
      <w:spacing w:before="240" w:after="120"/>
      <w:outlineLvl w:val="0"/>
    </w:pPr>
    <w:rPr>
      <w:b/>
      <w:szCs w:val="22"/>
    </w:rPr>
  </w:style>
  <w:style w:type="paragraph" w:styleId="Otsikko2">
    <w:name w:val="heading 2"/>
    <w:basedOn w:val="Normaali"/>
    <w:next w:val="Leipteksti"/>
    <w:qFormat/>
    <w:rsid w:val="00E42D0C"/>
    <w:pPr>
      <w:keepNext/>
      <w:tabs>
        <w:tab w:val="left" w:pos="964"/>
      </w:tabs>
      <w:spacing w:before="240" w:after="120"/>
      <w:outlineLvl w:val="1"/>
    </w:pPr>
    <w:rPr>
      <w:b/>
    </w:rPr>
  </w:style>
  <w:style w:type="paragraph" w:styleId="Otsikko3">
    <w:name w:val="heading 3"/>
    <w:basedOn w:val="Normaali"/>
    <w:next w:val="Leipteksti"/>
    <w:qFormat/>
    <w:rsid w:val="00E42D0C"/>
    <w:pPr>
      <w:keepNext/>
      <w:tabs>
        <w:tab w:val="left" w:pos="1134"/>
      </w:tabs>
      <w:spacing w:before="240" w:after="120"/>
      <w:outlineLvl w:val="2"/>
    </w:pPr>
    <w:rPr>
      <w:b/>
    </w:rPr>
  </w:style>
  <w:style w:type="paragraph" w:styleId="Otsikko4">
    <w:name w:val="heading 4"/>
    <w:basedOn w:val="Normaali"/>
    <w:next w:val="Leipteksti"/>
    <w:qFormat/>
    <w:rsid w:val="00E42D0C"/>
    <w:pPr>
      <w:keepNext/>
      <w:spacing w:before="240" w:after="120"/>
      <w:outlineLvl w:val="3"/>
    </w:pPr>
  </w:style>
  <w:style w:type="paragraph" w:styleId="Otsikko5">
    <w:name w:val="heading 5"/>
    <w:basedOn w:val="Normaali"/>
    <w:next w:val="Leipteksti"/>
    <w:qFormat/>
    <w:rsid w:val="00E42D0C"/>
    <w:pPr>
      <w:keepNext/>
      <w:spacing w:before="240" w:after="120"/>
      <w:outlineLvl w:val="4"/>
    </w:pPr>
  </w:style>
  <w:style w:type="paragraph" w:styleId="Otsikko6">
    <w:name w:val="heading 6"/>
    <w:basedOn w:val="Normaali"/>
    <w:next w:val="Leipteksti"/>
    <w:qFormat/>
    <w:rsid w:val="00E42D0C"/>
    <w:pPr>
      <w:keepNext/>
      <w:spacing w:before="240" w:after="120"/>
      <w:outlineLvl w:val="5"/>
    </w:pPr>
  </w:style>
  <w:style w:type="paragraph" w:styleId="Otsikko7">
    <w:name w:val="heading 7"/>
    <w:basedOn w:val="Normaali"/>
    <w:next w:val="Leipteksti"/>
    <w:qFormat/>
    <w:rsid w:val="00E42D0C"/>
    <w:pPr>
      <w:keepNext/>
      <w:spacing w:before="240" w:after="120"/>
      <w:outlineLvl w:val="6"/>
    </w:pPr>
  </w:style>
  <w:style w:type="paragraph" w:styleId="Otsikko8">
    <w:name w:val="heading 8"/>
    <w:basedOn w:val="Normaali"/>
    <w:next w:val="Leipteksti"/>
    <w:qFormat/>
    <w:rsid w:val="00E42D0C"/>
    <w:pPr>
      <w:keepNext/>
      <w:spacing w:before="240" w:after="120"/>
      <w:outlineLvl w:val="7"/>
    </w:pPr>
  </w:style>
  <w:style w:type="paragraph" w:styleId="Otsikko9">
    <w:name w:val="heading 9"/>
    <w:basedOn w:val="Normaali"/>
    <w:next w:val="Leipteksti"/>
    <w:qFormat/>
    <w:rsid w:val="00E42D0C"/>
    <w:pPr>
      <w:keepNext/>
      <w:spacing w:before="240" w:after="12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rsid w:val="00E42D0C"/>
    <w:pPr>
      <w:tabs>
        <w:tab w:val="left" w:pos="482"/>
        <w:tab w:val="right" w:leader="dot" w:pos="9639"/>
      </w:tabs>
    </w:pPr>
  </w:style>
  <w:style w:type="paragraph" w:styleId="Sisluet4">
    <w:name w:val="toc 4"/>
    <w:basedOn w:val="Normaali"/>
    <w:next w:val="Normaali"/>
    <w:autoRedefine/>
    <w:semiHidden/>
    <w:rsid w:val="00DF23B4"/>
    <w:pPr>
      <w:tabs>
        <w:tab w:val="left" w:pos="2268"/>
        <w:tab w:val="right" w:leader="dot" w:pos="10195"/>
      </w:tabs>
      <w:ind w:left="1418"/>
    </w:pPr>
    <w:rPr>
      <w:noProof/>
    </w:rPr>
  </w:style>
  <w:style w:type="character" w:styleId="Sivunumero">
    <w:name w:val="page number"/>
    <w:rsid w:val="00DF23B4"/>
    <w:rPr>
      <w:rFonts w:ascii="Arial" w:hAnsi="Arial"/>
      <w:sz w:val="22"/>
    </w:rPr>
  </w:style>
  <w:style w:type="paragraph" w:styleId="Sisluet2">
    <w:name w:val="toc 2"/>
    <w:basedOn w:val="Normaali"/>
    <w:next w:val="Normaali"/>
    <w:autoRedefine/>
    <w:uiPriority w:val="39"/>
    <w:rsid w:val="00E42D0C"/>
    <w:pPr>
      <w:tabs>
        <w:tab w:val="left" w:pos="1100"/>
        <w:tab w:val="right" w:leader="dot" w:pos="9639"/>
      </w:tabs>
      <w:ind w:left="482"/>
    </w:pPr>
  </w:style>
  <w:style w:type="paragraph" w:styleId="Pivmr">
    <w:name w:val="Date"/>
    <w:basedOn w:val="Normaali"/>
    <w:next w:val="Normaali"/>
    <w:rsid w:val="00DF23B4"/>
  </w:style>
  <w:style w:type="paragraph" w:styleId="Sisluet3">
    <w:name w:val="toc 3"/>
    <w:basedOn w:val="Normaali"/>
    <w:next w:val="Normaali"/>
    <w:autoRedefine/>
    <w:uiPriority w:val="39"/>
    <w:rsid w:val="00E42D0C"/>
    <w:pPr>
      <w:tabs>
        <w:tab w:val="right" w:leader="dot" w:pos="9639"/>
      </w:tabs>
      <w:ind w:left="1100"/>
    </w:pPr>
  </w:style>
  <w:style w:type="paragraph" w:styleId="Sisluet5">
    <w:name w:val="toc 5"/>
    <w:basedOn w:val="Normaali"/>
    <w:next w:val="Normaali"/>
    <w:autoRedefine/>
    <w:semiHidden/>
    <w:rsid w:val="00DF23B4"/>
    <w:pPr>
      <w:tabs>
        <w:tab w:val="left" w:pos="3261"/>
        <w:tab w:val="right" w:leader="dot" w:pos="10195"/>
      </w:tabs>
      <w:ind w:left="2268"/>
    </w:pPr>
    <w:rPr>
      <w:noProof/>
    </w:rPr>
  </w:style>
  <w:style w:type="paragraph" w:styleId="Yltunniste">
    <w:name w:val="header"/>
    <w:basedOn w:val="Normaali"/>
    <w:link w:val="YltunnisteChar"/>
    <w:rsid w:val="00DF23B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23B4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link w:val="LeiptekstiChar"/>
    <w:qFormat/>
    <w:rsid w:val="00E42D0C"/>
    <w:pPr>
      <w:ind w:left="2608"/>
    </w:pPr>
  </w:style>
  <w:style w:type="character" w:customStyle="1" w:styleId="LeiptekstiChar">
    <w:name w:val="Leipäteksti Char"/>
    <w:link w:val="Leipteksti"/>
    <w:rsid w:val="00E42D0C"/>
    <w:rPr>
      <w:sz w:val="24"/>
      <w:lang w:eastAsia="en-US"/>
    </w:rPr>
  </w:style>
  <w:style w:type="paragraph" w:styleId="Luettelokappale">
    <w:name w:val="List Paragraph"/>
    <w:basedOn w:val="Leipteksti"/>
    <w:uiPriority w:val="34"/>
    <w:qFormat/>
    <w:rsid w:val="0029354B"/>
    <w:pPr>
      <w:numPr>
        <w:ilvl w:val="2"/>
        <w:numId w:val="45"/>
      </w:numPr>
    </w:pPr>
  </w:style>
  <w:style w:type="paragraph" w:customStyle="1" w:styleId="Luettelokappale2">
    <w:name w:val="Luettelokappale 2"/>
    <w:basedOn w:val="Luettelokappale"/>
    <w:qFormat/>
    <w:rsid w:val="0029354B"/>
    <w:pPr>
      <w:numPr>
        <w:ilvl w:val="3"/>
      </w:numPr>
    </w:pPr>
  </w:style>
  <w:style w:type="paragraph" w:styleId="Otsikko">
    <w:name w:val="Title"/>
    <w:basedOn w:val="Normaali"/>
    <w:next w:val="Leipteksti"/>
    <w:link w:val="OtsikkoChar"/>
    <w:qFormat/>
    <w:rsid w:val="00E42D0C"/>
    <w:pPr>
      <w:spacing w:before="240" w:after="240"/>
    </w:pPr>
    <w:rPr>
      <w:rFonts w:cs="Cambria"/>
      <w:b/>
      <w:szCs w:val="52"/>
    </w:rPr>
  </w:style>
  <w:style w:type="character" w:customStyle="1" w:styleId="OtsikkoChar">
    <w:name w:val="Otsikko Char"/>
    <w:link w:val="Otsikko"/>
    <w:rsid w:val="00E42D0C"/>
    <w:rPr>
      <w:rFonts w:cs="Cambria"/>
      <w:b/>
      <w:sz w:val="24"/>
      <w:szCs w:val="52"/>
      <w:lang w:eastAsia="en-US"/>
    </w:rPr>
  </w:style>
  <w:style w:type="paragraph" w:customStyle="1" w:styleId="Riippuvasisennys">
    <w:name w:val="Riippuva sisennys"/>
    <w:basedOn w:val="Normaali"/>
    <w:next w:val="Leipteksti"/>
    <w:qFormat/>
    <w:rsid w:val="00E42D0C"/>
    <w:pPr>
      <w:ind w:left="2608" w:hanging="2608"/>
    </w:pPr>
  </w:style>
  <w:style w:type="character" w:customStyle="1" w:styleId="YltunnisteChar">
    <w:name w:val="Ylätunniste Char"/>
    <w:link w:val="Yltunniste"/>
    <w:rsid w:val="00F46BBC"/>
    <w:rPr>
      <w:sz w:val="24"/>
      <w:lang w:eastAsia="en-US"/>
    </w:rPr>
  </w:style>
  <w:style w:type="paragraph" w:styleId="Seliteteksti">
    <w:name w:val="Balloon Text"/>
    <w:basedOn w:val="Normaali"/>
    <w:link w:val="SelitetekstiChar"/>
    <w:rsid w:val="00F46BB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46BBC"/>
    <w:rPr>
      <w:rFonts w:ascii="Tahoma" w:hAnsi="Tahoma" w:cs="Tahoma"/>
      <w:sz w:val="16"/>
      <w:szCs w:val="16"/>
      <w:lang w:eastAsia="en-US"/>
    </w:rPr>
  </w:style>
  <w:style w:type="paragraph" w:styleId="Alaviitteenteksti">
    <w:name w:val="footnote text"/>
    <w:basedOn w:val="Normaali"/>
    <w:link w:val="AlaviitteentekstiChar"/>
    <w:rsid w:val="000F7A32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0F7A32"/>
    <w:rPr>
      <w:lang w:eastAsia="en-US"/>
    </w:rPr>
  </w:style>
  <w:style w:type="character" w:styleId="Alaviitteenviite">
    <w:name w:val="footnote reference"/>
    <w:basedOn w:val="Kappaleenoletusfontti"/>
    <w:rsid w:val="000F7A32"/>
    <w:rPr>
      <w:vertAlign w:val="superscript"/>
    </w:rPr>
  </w:style>
  <w:style w:type="table" w:styleId="TaulukkoRuudukko">
    <w:name w:val="Table Grid"/>
    <w:basedOn w:val="Normaalitaulukko"/>
    <w:uiPriority w:val="59"/>
    <w:rsid w:val="002C4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42D0C"/>
    <w:rPr>
      <w:sz w:val="24"/>
      <w:lang w:eastAsia="en-US"/>
    </w:rPr>
  </w:style>
  <w:style w:type="paragraph" w:styleId="Otsikko1">
    <w:name w:val="heading 1"/>
    <w:basedOn w:val="Normaali"/>
    <w:next w:val="Leipteksti"/>
    <w:qFormat/>
    <w:rsid w:val="00E42D0C"/>
    <w:pPr>
      <w:keepNext/>
      <w:tabs>
        <w:tab w:val="left" w:pos="964"/>
      </w:tabs>
      <w:spacing w:before="240" w:after="120"/>
      <w:outlineLvl w:val="0"/>
    </w:pPr>
    <w:rPr>
      <w:b/>
      <w:szCs w:val="22"/>
    </w:rPr>
  </w:style>
  <w:style w:type="paragraph" w:styleId="Otsikko2">
    <w:name w:val="heading 2"/>
    <w:basedOn w:val="Normaali"/>
    <w:next w:val="Leipteksti"/>
    <w:qFormat/>
    <w:rsid w:val="00E42D0C"/>
    <w:pPr>
      <w:keepNext/>
      <w:tabs>
        <w:tab w:val="left" w:pos="964"/>
      </w:tabs>
      <w:spacing w:before="240" w:after="120"/>
      <w:outlineLvl w:val="1"/>
    </w:pPr>
    <w:rPr>
      <w:b/>
    </w:rPr>
  </w:style>
  <w:style w:type="paragraph" w:styleId="Otsikko3">
    <w:name w:val="heading 3"/>
    <w:basedOn w:val="Normaali"/>
    <w:next w:val="Leipteksti"/>
    <w:qFormat/>
    <w:rsid w:val="00E42D0C"/>
    <w:pPr>
      <w:keepNext/>
      <w:tabs>
        <w:tab w:val="left" w:pos="1134"/>
      </w:tabs>
      <w:spacing w:before="240" w:after="120"/>
      <w:outlineLvl w:val="2"/>
    </w:pPr>
    <w:rPr>
      <w:b/>
    </w:rPr>
  </w:style>
  <w:style w:type="paragraph" w:styleId="Otsikko4">
    <w:name w:val="heading 4"/>
    <w:basedOn w:val="Normaali"/>
    <w:next w:val="Leipteksti"/>
    <w:qFormat/>
    <w:rsid w:val="00E42D0C"/>
    <w:pPr>
      <w:keepNext/>
      <w:spacing w:before="240" w:after="120"/>
      <w:outlineLvl w:val="3"/>
    </w:pPr>
  </w:style>
  <w:style w:type="paragraph" w:styleId="Otsikko5">
    <w:name w:val="heading 5"/>
    <w:basedOn w:val="Normaali"/>
    <w:next w:val="Leipteksti"/>
    <w:qFormat/>
    <w:rsid w:val="00E42D0C"/>
    <w:pPr>
      <w:keepNext/>
      <w:spacing w:before="240" w:after="120"/>
      <w:outlineLvl w:val="4"/>
    </w:pPr>
  </w:style>
  <w:style w:type="paragraph" w:styleId="Otsikko6">
    <w:name w:val="heading 6"/>
    <w:basedOn w:val="Normaali"/>
    <w:next w:val="Leipteksti"/>
    <w:qFormat/>
    <w:rsid w:val="00E42D0C"/>
    <w:pPr>
      <w:keepNext/>
      <w:spacing w:before="240" w:after="120"/>
      <w:outlineLvl w:val="5"/>
    </w:pPr>
  </w:style>
  <w:style w:type="paragraph" w:styleId="Otsikko7">
    <w:name w:val="heading 7"/>
    <w:basedOn w:val="Normaali"/>
    <w:next w:val="Leipteksti"/>
    <w:qFormat/>
    <w:rsid w:val="00E42D0C"/>
    <w:pPr>
      <w:keepNext/>
      <w:spacing w:before="240" w:after="120"/>
      <w:outlineLvl w:val="6"/>
    </w:pPr>
  </w:style>
  <w:style w:type="paragraph" w:styleId="Otsikko8">
    <w:name w:val="heading 8"/>
    <w:basedOn w:val="Normaali"/>
    <w:next w:val="Leipteksti"/>
    <w:qFormat/>
    <w:rsid w:val="00E42D0C"/>
    <w:pPr>
      <w:keepNext/>
      <w:spacing w:before="240" w:after="120"/>
      <w:outlineLvl w:val="7"/>
    </w:pPr>
  </w:style>
  <w:style w:type="paragraph" w:styleId="Otsikko9">
    <w:name w:val="heading 9"/>
    <w:basedOn w:val="Normaali"/>
    <w:next w:val="Leipteksti"/>
    <w:qFormat/>
    <w:rsid w:val="00E42D0C"/>
    <w:pPr>
      <w:keepNext/>
      <w:spacing w:before="240" w:after="12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rsid w:val="00E42D0C"/>
    <w:pPr>
      <w:tabs>
        <w:tab w:val="left" w:pos="482"/>
        <w:tab w:val="right" w:leader="dot" w:pos="9639"/>
      </w:tabs>
    </w:pPr>
  </w:style>
  <w:style w:type="paragraph" w:styleId="Sisluet4">
    <w:name w:val="toc 4"/>
    <w:basedOn w:val="Normaali"/>
    <w:next w:val="Normaali"/>
    <w:autoRedefine/>
    <w:semiHidden/>
    <w:rsid w:val="00DF23B4"/>
    <w:pPr>
      <w:tabs>
        <w:tab w:val="left" w:pos="2268"/>
        <w:tab w:val="right" w:leader="dot" w:pos="10195"/>
      </w:tabs>
      <w:ind w:left="1418"/>
    </w:pPr>
    <w:rPr>
      <w:noProof/>
    </w:rPr>
  </w:style>
  <w:style w:type="character" w:styleId="Sivunumero">
    <w:name w:val="page number"/>
    <w:rsid w:val="00DF23B4"/>
    <w:rPr>
      <w:rFonts w:ascii="Arial" w:hAnsi="Arial"/>
      <w:sz w:val="22"/>
    </w:rPr>
  </w:style>
  <w:style w:type="paragraph" w:styleId="Sisluet2">
    <w:name w:val="toc 2"/>
    <w:basedOn w:val="Normaali"/>
    <w:next w:val="Normaali"/>
    <w:autoRedefine/>
    <w:uiPriority w:val="39"/>
    <w:rsid w:val="00E42D0C"/>
    <w:pPr>
      <w:tabs>
        <w:tab w:val="left" w:pos="1100"/>
        <w:tab w:val="right" w:leader="dot" w:pos="9639"/>
      </w:tabs>
      <w:ind w:left="482"/>
    </w:pPr>
  </w:style>
  <w:style w:type="paragraph" w:styleId="Pivmr">
    <w:name w:val="Date"/>
    <w:basedOn w:val="Normaali"/>
    <w:next w:val="Normaali"/>
    <w:rsid w:val="00DF23B4"/>
  </w:style>
  <w:style w:type="paragraph" w:styleId="Sisluet3">
    <w:name w:val="toc 3"/>
    <w:basedOn w:val="Normaali"/>
    <w:next w:val="Normaali"/>
    <w:autoRedefine/>
    <w:uiPriority w:val="39"/>
    <w:rsid w:val="00E42D0C"/>
    <w:pPr>
      <w:tabs>
        <w:tab w:val="right" w:leader="dot" w:pos="9639"/>
      </w:tabs>
      <w:ind w:left="1100"/>
    </w:pPr>
  </w:style>
  <w:style w:type="paragraph" w:styleId="Sisluet5">
    <w:name w:val="toc 5"/>
    <w:basedOn w:val="Normaali"/>
    <w:next w:val="Normaali"/>
    <w:autoRedefine/>
    <w:semiHidden/>
    <w:rsid w:val="00DF23B4"/>
    <w:pPr>
      <w:tabs>
        <w:tab w:val="left" w:pos="3261"/>
        <w:tab w:val="right" w:leader="dot" w:pos="10195"/>
      </w:tabs>
      <w:ind w:left="2268"/>
    </w:pPr>
    <w:rPr>
      <w:noProof/>
    </w:rPr>
  </w:style>
  <w:style w:type="paragraph" w:styleId="Yltunniste">
    <w:name w:val="header"/>
    <w:basedOn w:val="Normaali"/>
    <w:link w:val="YltunnisteChar"/>
    <w:rsid w:val="00DF23B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23B4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link w:val="LeiptekstiChar"/>
    <w:qFormat/>
    <w:rsid w:val="00E42D0C"/>
    <w:pPr>
      <w:ind w:left="2608"/>
    </w:pPr>
  </w:style>
  <w:style w:type="character" w:customStyle="1" w:styleId="LeiptekstiChar">
    <w:name w:val="Leipäteksti Char"/>
    <w:link w:val="Leipteksti"/>
    <w:rsid w:val="00E42D0C"/>
    <w:rPr>
      <w:sz w:val="24"/>
      <w:lang w:eastAsia="en-US"/>
    </w:rPr>
  </w:style>
  <w:style w:type="paragraph" w:styleId="Luettelokappale">
    <w:name w:val="List Paragraph"/>
    <w:basedOn w:val="Leipteksti"/>
    <w:uiPriority w:val="34"/>
    <w:qFormat/>
    <w:rsid w:val="0029354B"/>
    <w:pPr>
      <w:numPr>
        <w:ilvl w:val="2"/>
        <w:numId w:val="45"/>
      </w:numPr>
    </w:pPr>
  </w:style>
  <w:style w:type="paragraph" w:customStyle="1" w:styleId="Luettelokappale2">
    <w:name w:val="Luettelokappale 2"/>
    <w:basedOn w:val="Luettelokappale"/>
    <w:qFormat/>
    <w:rsid w:val="0029354B"/>
    <w:pPr>
      <w:numPr>
        <w:ilvl w:val="3"/>
      </w:numPr>
    </w:pPr>
  </w:style>
  <w:style w:type="paragraph" w:styleId="Otsikko">
    <w:name w:val="Title"/>
    <w:basedOn w:val="Normaali"/>
    <w:next w:val="Leipteksti"/>
    <w:link w:val="OtsikkoChar"/>
    <w:qFormat/>
    <w:rsid w:val="00E42D0C"/>
    <w:pPr>
      <w:spacing w:before="240" w:after="240"/>
    </w:pPr>
    <w:rPr>
      <w:rFonts w:cs="Cambria"/>
      <w:b/>
      <w:szCs w:val="52"/>
    </w:rPr>
  </w:style>
  <w:style w:type="character" w:customStyle="1" w:styleId="OtsikkoChar">
    <w:name w:val="Otsikko Char"/>
    <w:link w:val="Otsikko"/>
    <w:rsid w:val="00E42D0C"/>
    <w:rPr>
      <w:rFonts w:cs="Cambria"/>
      <w:b/>
      <w:sz w:val="24"/>
      <w:szCs w:val="52"/>
      <w:lang w:eastAsia="en-US"/>
    </w:rPr>
  </w:style>
  <w:style w:type="paragraph" w:customStyle="1" w:styleId="Riippuvasisennys">
    <w:name w:val="Riippuva sisennys"/>
    <w:basedOn w:val="Normaali"/>
    <w:next w:val="Leipteksti"/>
    <w:qFormat/>
    <w:rsid w:val="00E42D0C"/>
    <w:pPr>
      <w:ind w:left="2608" w:hanging="2608"/>
    </w:pPr>
  </w:style>
  <w:style w:type="character" w:customStyle="1" w:styleId="YltunnisteChar">
    <w:name w:val="Ylätunniste Char"/>
    <w:link w:val="Yltunniste"/>
    <w:rsid w:val="00F46BBC"/>
    <w:rPr>
      <w:sz w:val="24"/>
      <w:lang w:eastAsia="en-US"/>
    </w:rPr>
  </w:style>
  <w:style w:type="paragraph" w:styleId="Seliteteksti">
    <w:name w:val="Balloon Text"/>
    <w:basedOn w:val="Normaali"/>
    <w:link w:val="SelitetekstiChar"/>
    <w:rsid w:val="00F46BB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46BBC"/>
    <w:rPr>
      <w:rFonts w:ascii="Tahoma" w:hAnsi="Tahoma" w:cs="Tahoma"/>
      <w:sz w:val="16"/>
      <w:szCs w:val="16"/>
      <w:lang w:eastAsia="en-US"/>
    </w:rPr>
  </w:style>
  <w:style w:type="paragraph" w:styleId="Alaviitteenteksti">
    <w:name w:val="footnote text"/>
    <w:basedOn w:val="Normaali"/>
    <w:link w:val="AlaviitteentekstiChar"/>
    <w:rsid w:val="000F7A32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0F7A32"/>
    <w:rPr>
      <w:lang w:eastAsia="en-US"/>
    </w:rPr>
  </w:style>
  <w:style w:type="character" w:styleId="Alaviitteenviite">
    <w:name w:val="footnote reference"/>
    <w:basedOn w:val="Kappaleenoletusfontti"/>
    <w:rsid w:val="000F7A32"/>
    <w:rPr>
      <w:vertAlign w:val="superscript"/>
    </w:rPr>
  </w:style>
  <w:style w:type="table" w:styleId="TaulukkoRuudukko">
    <w:name w:val="Table Grid"/>
    <w:basedOn w:val="Normaalitaulukko"/>
    <w:uiPriority w:val="59"/>
    <w:rsid w:val="002C4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32\ms\Alkup\7muistio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A5C0-26CC-40A2-93A6-2EFE7B5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7muistio.dotm</Template>
  <TotalTime>0</TotalTime>
  <Pages>11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ETK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Appelqvist</dc:creator>
  <dc:description>T:\data\KT-ennuste\Ennustevirheet\Taulukot</dc:description>
  <cp:lastModifiedBy>Merinen Johanna</cp:lastModifiedBy>
  <cp:revision>2</cp:revision>
  <cp:lastPrinted>2014-01-27T10:55:00Z</cp:lastPrinted>
  <dcterms:created xsi:type="dcterms:W3CDTF">2015-12-11T15:35:00Z</dcterms:created>
  <dcterms:modified xsi:type="dcterms:W3CDTF">2015-12-11T15:35:00Z</dcterms:modified>
</cp:coreProperties>
</file>